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2D13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拟审批意见</w:t>
      </w:r>
    </w:p>
    <w:tbl>
      <w:tblPr>
        <w:tblStyle w:val="12"/>
        <w:tblW w:w="9555" w:type="dxa"/>
        <w:tblCellSpacing w:w="15" w:type="dxa"/>
        <w:tblInd w:w="-4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7733"/>
      </w:tblGrid>
      <w:tr w14:paraId="217E7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tblCellSpacing w:w="15" w:type="dxa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C930DAC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建设项目</w:t>
            </w:r>
          </w:p>
          <w:p w14:paraId="1946AA04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7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DA43543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鹤岗鸟山煤炭有限责任公司矿井水厂深度处理项目</w:t>
            </w:r>
          </w:p>
        </w:tc>
      </w:tr>
      <w:tr w14:paraId="0867F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51CDA34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建设地址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66A17EE4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黑龙江省鹤岗市东山区东山红乡东山屯南侧</w:t>
            </w:r>
          </w:p>
        </w:tc>
      </w:tr>
      <w:tr w14:paraId="1368C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C563519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建设单位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559021F5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鹤岗鸟山煤炭有限责任公司</w:t>
            </w:r>
          </w:p>
        </w:tc>
      </w:tr>
      <w:tr w14:paraId="54485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375FA73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环境影响</w:t>
            </w:r>
          </w:p>
          <w:p w14:paraId="22ACBCDD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评价单位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DD52E04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中煤科工集团沈阳设计研究院有限公司</w:t>
            </w:r>
          </w:p>
        </w:tc>
      </w:tr>
      <w:tr w14:paraId="55BAA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FC7742D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项目概况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F415B68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项目建设性质为技术改造。主要建设内容为：对现有矿井水处理系统进行技术改造，在现有矿井水处理系统后增加深度处理系统，预处理清水池（利用现有）→高效沉淀池→V型滤池→活性炭滤池→清水池，维持现有处理规模1000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/h；新建立一座生活净化水处理站，采用“调节水箱→活性炭过滤→保安过滤器→RO反渗透系统→清水箱-稳压供水系统”工艺。项目总投资1450万，其中环保投资11.5万。</w:t>
            </w:r>
          </w:p>
        </w:tc>
      </w:tr>
      <w:tr w14:paraId="1215A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B8B3235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主要环境影响及预防或者减轻不良影响的对策和措施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42E3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auto"/>
                <w:sz w:val="32"/>
                <w:szCs w:val="32"/>
              </w:rPr>
              <w:t>一、施工期</w:t>
            </w:r>
          </w:p>
          <w:p w14:paraId="65E998DE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3" w:firstLineChars="200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（一）大气污染防治措施</w:t>
            </w:r>
          </w:p>
          <w:p w14:paraId="07F251CC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1、对施工现场实行合理化管理，使砂石料统一堆放，搬运时做到轻举轻放，防止包装袋破裂。</w:t>
            </w:r>
          </w:p>
          <w:p w14:paraId="6BE4E1F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2、对场地整理作业面适当洒水，使其保持一定湿度，以减少扬尘量，开挖的弃土和建筑垃圾要及时运走，以防长期堆放表面干燥而起尘或被雨水冲刷。</w:t>
            </w:r>
          </w:p>
          <w:p w14:paraId="7064936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3、运输车辆应完好，不应装载过满，采取遮盖、密闭措施，减少沿途抛洒，并及时清扫散落在路面上的泥土和建筑材料，定时洒水压尘，以减少运输过程中的扬尘。</w:t>
            </w:r>
          </w:p>
          <w:p w14:paraId="7AC8871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4、施工现场要设围栏或部分围栏，缩小施工扬尘扩散范围。</w:t>
            </w:r>
          </w:p>
          <w:p w14:paraId="1CD9C30C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3" w:firstLineChars="20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（二）废水环境污染防治措施</w:t>
            </w:r>
          </w:p>
          <w:p w14:paraId="1F6EE2DA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施工人员生活污水依托矿区现有生活污水处理站处理，处理达标后用作煤矿生产用水。</w:t>
            </w:r>
          </w:p>
          <w:p w14:paraId="19EDC3EB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3" w:firstLineChars="20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（三）噪声污染防治措施</w:t>
            </w:r>
          </w:p>
          <w:p w14:paraId="2F4E11D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1、采用低噪声施工设备和噪声低的施工方法，定期对机械设备进行维护和保养，减轻因设备运行状态不佳而造成的噪声污染。</w:t>
            </w:r>
          </w:p>
          <w:p w14:paraId="3DE2123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2、施工现场合理布局，施工阶段的高噪声设备不应同时使用，避免噪声叠加的影响。</w:t>
            </w:r>
          </w:p>
          <w:p w14:paraId="3E9DD4D1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3" w:firstLineChars="20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（四）固体废物防治措施</w:t>
            </w:r>
          </w:p>
          <w:p w14:paraId="3C12DA9E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建筑垃圾和装修垃圾要及时清运、并加以利用，防止其因长期堆放而产生扬尘。工程建设期间生活垃圾要进行专门收集，委托环卫部门外运处理，严禁乱堆乱扔，防止产生二次污染。</w:t>
            </w:r>
          </w:p>
          <w:p w14:paraId="08BAE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、运营期</w:t>
            </w:r>
          </w:p>
          <w:p w14:paraId="57D1F3BF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3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（一）废水环境污染防治措施</w:t>
            </w:r>
          </w:p>
          <w:p w14:paraId="03757F5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鸟山煤矿矿井处理后作为煤矿生产用水，富余的矿井水经过“预沉池→调节池→高效沉淀器→高效过滤器→预处理清水池→高效沉淀池→V型滤池→活性炭滤池→清水池”工艺达到《地表水环境质量标准》（GB3838－2002）中Ⅲ类水质标准和全盐量小于1000mg/L后通过白石河进入石头河，最终排入梧桐河。反冲洗废水循环利用，不外排。</w:t>
            </w:r>
          </w:p>
          <w:p w14:paraId="3661226C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3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（二）噪声污染防治措施</w:t>
            </w:r>
          </w:p>
          <w:p w14:paraId="7223195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选用低噪声设备，经隔声、减振、消声处理、规范平面布局等降噪措施后，厂区边界外昼间、夜间噪声值满足《工业企业厂界环境噪声排放标准》（GB12348-2008）表1中2类标准要求。</w:t>
            </w:r>
          </w:p>
          <w:p w14:paraId="31EEEE2C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3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（三）固体废物防治措施</w:t>
            </w:r>
          </w:p>
          <w:tbl>
            <w:tblPr>
              <w:tblStyle w:val="12"/>
              <w:tblW w:w="4522" w:type="pct"/>
              <w:tblInd w:w="0" w:type="dxa"/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0"/>
              <w:gridCol w:w="1109"/>
              <w:gridCol w:w="2466"/>
              <w:gridCol w:w="2083"/>
            </w:tblGrid>
            <w:tr w14:paraId="406D587C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  <w:tblHeader/>
              </w:trPr>
              <w:tc>
                <w:tcPr>
                  <w:tcW w:w="850" w:type="pct"/>
                  <w:vMerge w:val="restart"/>
                  <w:noWrap w:val="0"/>
                  <w:vAlign w:val="center"/>
                </w:tcPr>
                <w:p w14:paraId="60917A8D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813" w:type="pct"/>
                  <w:vMerge w:val="restart"/>
                  <w:noWrap w:val="0"/>
                  <w:vAlign w:val="center"/>
                </w:tcPr>
                <w:p w14:paraId="1654461D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固废属性</w:t>
                  </w:r>
                </w:p>
              </w:tc>
              <w:tc>
                <w:tcPr>
                  <w:tcW w:w="1808" w:type="pct"/>
                  <w:noWrap w:val="0"/>
                  <w:vAlign w:val="center"/>
                </w:tcPr>
                <w:p w14:paraId="6F878494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处置措施</w:t>
                  </w:r>
                </w:p>
              </w:tc>
              <w:tc>
                <w:tcPr>
                  <w:tcW w:w="1527" w:type="pct"/>
                  <w:vMerge w:val="restart"/>
                  <w:noWrap w:val="0"/>
                  <w:vAlign w:val="center"/>
                </w:tcPr>
                <w:p w14:paraId="29B4AD4C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最终去向</w:t>
                  </w:r>
                </w:p>
              </w:tc>
            </w:tr>
            <w:tr w14:paraId="10F9A1A6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  <w:tblHeader/>
              </w:trPr>
              <w:tc>
                <w:tcPr>
                  <w:tcW w:w="850" w:type="pct"/>
                  <w:vMerge w:val="continue"/>
                  <w:noWrap w:val="0"/>
                  <w:vAlign w:val="center"/>
                </w:tcPr>
                <w:p w14:paraId="5E6FC4E2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13" w:type="pct"/>
                  <w:vMerge w:val="continue"/>
                  <w:noWrap w:val="0"/>
                  <w:vAlign w:val="center"/>
                </w:tcPr>
                <w:p w14:paraId="1541DF06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808" w:type="pct"/>
                  <w:noWrap w:val="0"/>
                  <w:vAlign w:val="center"/>
                </w:tcPr>
                <w:p w14:paraId="5B2621CB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贮存方式</w:t>
                  </w:r>
                </w:p>
              </w:tc>
              <w:tc>
                <w:tcPr>
                  <w:tcW w:w="1527" w:type="pct"/>
                  <w:vMerge w:val="continue"/>
                  <w:noWrap w:val="0"/>
                  <w:vAlign w:val="center"/>
                </w:tcPr>
                <w:p w14:paraId="49E48C09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473FC99E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  <w:tblHeader/>
              </w:trPr>
              <w:tc>
                <w:tcPr>
                  <w:tcW w:w="850" w:type="pct"/>
                  <w:noWrap w:val="0"/>
                  <w:vAlign w:val="center"/>
                </w:tcPr>
                <w:p w14:paraId="2B833D85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生活垃圾</w:t>
                  </w:r>
                </w:p>
              </w:tc>
              <w:tc>
                <w:tcPr>
                  <w:tcW w:w="813" w:type="pct"/>
                  <w:noWrap w:val="0"/>
                  <w:vAlign w:val="center"/>
                </w:tcPr>
                <w:p w14:paraId="733D0CC0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一般固废</w:t>
                  </w:r>
                </w:p>
              </w:tc>
              <w:tc>
                <w:tcPr>
                  <w:tcW w:w="1808" w:type="pct"/>
                  <w:noWrap w:val="0"/>
                  <w:vAlign w:val="center"/>
                </w:tcPr>
                <w:p w14:paraId="3E45C0EF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站内生活垃圾收集点收集贮存</w:t>
                  </w:r>
                </w:p>
              </w:tc>
              <w:tc>
                <w:tcPr>
                  <w:tcW w:w="1527" w:type="pct"/>
                  <w:noWrap w:val="0"/>
                  <w:vAlign w:val="center"/>
                </w:tcPr>
                <w:p w14:paraId="2BD882F3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统一收集后由市政环卫部门处置</w:t>
                  </w:r>
                </w:p>
              </w:tc>
            </w:tr>
            <w:tr w14:paraId="0E447052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3" w:hRule="atLeast"/>
                <w:tblHeader/>
              </w:trPr>
              <w:tc>
                <w:tcPr>
                  <w:tcW w:w="850" w:type="pct"/>
                  <w:noWrap w:val="0"/>
                  <w:vAlign w:val="center"/>
                </w:tcPr>
                <w:p w14:paraId="131DF83C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废活性炭</w:t>
                  </w:r>
                </w:p>
              </w:tc>
              <w:tc>
                <w:tcPr>
                  <w:tcW w:w="813" w:type="pct"/>
                  <w:noWrap w:val="0"/>
                  <w:vAlign w:val="center"/>
                </w:tcPr>
                <w:p w14:paraId="61B8B60C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危险废物</w:t>
                  </w:r>
                </w:p>
              </w:tc>
              <w:tc>
                <w:tcPr>
                  <w:tcW w:w="1808" w:type="pct"/>
                  <w:noWrap w:val="0"/>
                  <w:vAlign w:val="center"/>
                </w:tcPr>
                <w:p w14:paraId="13AC3A2F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鸟山煤矿现有危废暂存间</w:t>
                  </w:r>
                </w:p>
              </w:tc>
              <w:tc>
                <w:tcPr>
                  <w:tcW w:w="1527" w:type="pct"/>
                  <w:noWrap w:val="0"/>
                  <w:vAlign w:val="center"/>
                </w:tcPr>
                <w:p w14:paraId="168DCFEE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定期交由有资质的单位处置。</w:t>
                  </w:r>
                </w:p>
              </w:tc>
            </w:tr>
            <w:tr w14:paraId="2CCCF3EE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  <w:tblHeader/>
              </w:trPr>
              <w:tc>
                <w:tcPr>
                  <w:tcW w:w="850" w:type="pct"/>
                  <w:noWrap w:val="0"/>
                  <w:vAlign w:val="center"/>
                </w:tcPr>
                <w:p w14:paraId="6FEFD080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RO膜组</w:t>
                  </w:r>
                </w:p>
              </w:tc>
              <w:tc>
                <w:tcPr>
                  <w:tcW w:w="813" w:type="pct"/>
                  <w:noWrap w:val="0"/>
                  <w:vAlign w:val="center"/>
                </w:tcPr>
                <w:p w14:paraId="2679D523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一般固废</w:t>
                  </w:r>
                </w:p>
              </w:tc>
              <w:tc>
                <w:tcPr>
                  <w:tcW w:w="1808" w:type="pct"/>
                  <w:noWrap w:val="0"/>
                  <w:vAlign w:val="center"/>
                </w:tcPr>
                <w:p w14:paraId="18253B27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现场不存储</w:t>
                  </w:r>
                </w:p>
              </w:tc>
              <w:tc>
                <w:tcPr>
                  <w:tcW w:w="1527" w:type="pct"/>
                  <w:noWrap w:val="0"/>
                  <w:vAlign w:val="center"/>
                </w:tcPr>
                <w:p w14:paraId="3E6467D3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由厂家定期回收</w:t>
                  </w:r>
                </w:p>
              </w:tc>
            </w:tr>
            <w:tr w14:paraId="4C41B777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  <w:tblHeader/>
              </w:trPr>
              <w:tc>
                <w:tcPr>
                  <w:tcW w:w="850" w:type="pct"/>
                  <w:noWrap w:val="0"/>
                  <w:vAlign w:val="center"/>
                </w:tcPr>
                <w:p w14:paraId="5021DC69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废滤膜</w:t>
                  </w:r>
                </w:p>
              </w:tc>
              <w:tc>
                <w:tcPr>
                  <w:tcW w:w="813" w:type="pct"/>
                  <w:noWrap w:val="0"/>
                  <w:vAlign w:val="center"/>
                </w:tcPr>
                <w:p w14:paraId="4EB16C79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一般固废</w:t>
                  </w:r>
                </w:p>
              </w:tc>
              <w:tc>
                <w:tcPr>
                  <w:tcW w:w="1808" w:type="pct"/>
                  <w:noWrap w:val="0"/>
                  <w:vAlign w:val="center"/>
                </w:tcPr>
                <w:p w14:paraId="13F90D48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现场不存储</w:t>
                  </w:r>
                </w:p>
              </w:tc>
              <w:tc>
                <w:tcPr>
                  <w:tcW w:w="1527" w:type="pct"/>
                  <w:noWrap w:val="0"/>
                  <w:vAlign w:val="center"/>
                </w:tcPr>
                <w:p w14:paraId="06C427A4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由厂家定期回收</w:t>
                  </w:r>
                </w:p>
              </w:tc>
            </w:tr>
            <w:tr w14:paraId="79F2BE6E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9" w:hRule="atLeast"/>
                <w:tblHeader/>
              </w:trPr>
              <w:tc>
                <w:tcPr>
                  <w:tcW w:w="850" w:type="pct"/>
                  <w:noWrap w:val="0"/>
                  <w:vAlign w:val="center"/>
                </w:tcPr>
                <w:p w14:paraId="010DEBAC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污泥</w:t>
                  </w:r>
                </w:p>
              </w:tc>
              <w:tc>
                <w:tcPr>
                  <w:tcW w:w="813" w:type="pct"/>
                  <w:noWrap w:val="0"/>
                  <w:vAlign w:val="center"/>
                </w:tcPr>
                <w:p w14:paraId="3EC793C6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一般固废</w:t>
                  </w:r>
                </w:p>
              </w:tc>
              <w:tc>
                <w:tcPr>
                  <w:tcW w:w="1808" w:type="pct"/>
                  <w:noWrap w:val="0"/>
                  <w:vAlign w:val="center"/>
                </w:tcPr>
                <w:p w14:paraId="0406879C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压滤</w:t>
                  </w:r>
                </w:p>
              </w:tc>
              <w:tc>
                <w:tcPr>
                  <w:tcW w:w="1527" w:type="pct"/>
                  <w:noWrap w:val="0"/>
                  <w:vAlign w:val="center"/>
                </w:tcPr>
                <w:p w14:paraId="7628A174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和矸石一起运至岭北露天矿回填露天坑</w:t>
                  </w:r>
                </w:p>
              </w:tc>
            </w:tr>
            <w:tr w14:paraId="13185E76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3" w:hRule="atLeast"/>
                <w:tblHeader/>
              </w:trPr>
              <w:tc>
                <w:tcPr>
                  <w:tcW w:w="850" w:type="pct"/>
                  <w:noWrap w:val="0"/>
                  <w:vAlign w:val="center"/>
                </w:tcPr>
                <w:p w14:paraId="56FDCA8D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废机油</w:t>
                  </w:r>
                </w:p>
              </w:tc>
              <w:tc>
                <w:tcPr>
                  <w:tcW w:w="813" w:type="pct"/>
                  <w:noWrap w:val="0"/>
                  <w:vAlign w:val="center"/>
                </w:tcPr>
                <w:p w14:paraId="693092E7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危险废物</w:t>
                  </w:r>
                </w:p>
              </w:tc>
              <w:tc>
                <w:tcPr>
                  <w:tcW w:w="1808" w:type="pct"/>
                  <w:noWrap w:val="0"/>
                  <w:vAlign w:val="center"/>
                </w:tcPr>
                <w:p w14:paraId="148BCA20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鸟山煤矿现有危废暂存间</w:t>
                  </w:r>
                </w:p>
              </w:tc>
              <w:tc>
                <w:tcPr>
                  <w:tcW w:w="1527" w:type="pct"/>
                  <w:noWrap w:val="0"/>
                  <w:vAlign w:val="center"/>
                </w:tcPr>
                <w:p w14:paraId="4BCECB24">
                  <w:pPr>
                    <w:pStyle w:val="20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定期交由有资质的单位处置。</w:t>
                  </w:r>
                </w:p>
              </w:tc>
            </w:tr>
          </w:tbl>
          <w:p w14:paraId="570903A7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09644023"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3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（五）地下水、土壤污染防治措施</w:t>
            </w:r>
          </w:p>
          <w:p w14:paraId="71A459E7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  <w:t>采取分区防渗的措施，健全环境管理制度，加强污染防治工作，保证设施正常运转，同时强化风险防范意识</w:t>
            </w:r>
            <w:r>
              <w:rPr>
                <w:rFonts w:hint="eastAsia" w:eastAsia="仿宋_GB2312" w:cs="仿宋_GB2312"/>
                <w:color w:val="auto"/>
                <w:sz w:val="32"/>
                <w:szCs w:val="32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  <w:t>定期进行环境监测。</w:t>
            </w:r>
          </w:p>
          <w:p w14:paraId="79735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auto"/>
                <w:sz w:val="32"/>
                <w:szCs w:val="32"/>
              </w:rPr>
              <w:t>三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、环境风险防范措施</w:t>
            </w:r>
          </w:p>
          <w:p w14:paraId="076011A2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  <w:t>1、防止环境风险的发生，项目现有4500m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vertAlign w:val="superscript"/>
                <w:lang w:val="zh-CN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  <w:t>的事故水池和5280m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vertAlign w:val="superscript"/>
                <w:lang w:val="zh-CN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  <w:t>调节池用于暂存事故废水。</w:t>
            </w:r>
          </w:p>
          <w:p w14:paraId="04C1B0E0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  <w:t>2、本项目污水处理站各池体、储药间按重点防渗区采取防渗措施。</w:t>
            </w:r>
          </w:p>
          <w:p w14:paraId="49141165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  <w:t>3、保证监测设备正常运行，定期对矿井水处理产进出口废水自行监测。</w:t>
            </w:r>
          </w:p>
          <w:p w14:paraId="1FFAD76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  <w:t>4、定期对输水管网进行检查维修。</w:t>
            </w:r>
          </w:p>
          <w:p w14:paraId="62592563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zh-CN" w:eastAsia="zh-CN"/>
              </w:rPr>
              <w:t>5、制定应急处理措施，编制事故应急预案，成立应急事故领导小组。</w:t>
            </w:r>
          </w:p>
        </w:tc>
      </w:tr>
      <w:tr w14:paraId="2C3F1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9D3B2D3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公众参与情况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CB44017"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无需开展</w:t>
            </w:r>
          </w:p>
        </w:tc>
      </w:tr>
      <w:tr w14:paraId="37006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0987FE5">
            <w:pPr>
              <w:pStyle w:val="9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建设单位或地方政府所作出的相应环境保护措施承诺文件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D731FE2"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1FB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90B78E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拟批复</w:t>
            </w:r>
          </w:p>
          <w:p w14:paraId="5B3A98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意见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214B6A8"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同意</w:t>
            </w:r>
          </w:p>
        </w:tc>
      </w:tr>
    </w:tbl>
    <w:p w14:paraId="4CB4D0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dhNDY4ZTA4YTIxNDg5ZTY4ZTZkZGYxMGE5MmIifQ=="/>
  </w:docVars>
  <w:rsids>
    <w:rsidRoot w:val="37171A61"/>
    <w:rsid w:val="021715BE"/>
    <w:rsid w:val="041C5514"/>
    <w:rsid w:val="049C7DEF"/>
    <w:rsid w:val="056C5FA6"/>
    <w:rsid w:val="06DB3CE0"/>
    <w:rsid w:val="08A84B75"/>
    <w:rsid w:val="09257549"/>
    <w:rsid w:val="09647BA9"/>
    <w:rsid w:val="0A857DC5"/>
    <w:rsid w:val="0DB80AB6"/>
    <w:rsid w:val="0EAF4A78"/>
    <w:rsid w:val="10367DB5"/>
    <w:rsid w:val="15AA1C40"/>
    <w:rsid w:val="17AC6144"/>
    <w:rsid w:val="1A2E4822"/>
    <w:rsid w:val="1A6A36E7"/>
    <w:rsid w:val="1BA00FF9"/>
    <w:rsid w:val="1CB9558B"/>
    <w:rsid w:val="20F61668"/>
    <w:rsid w:val="21C961A7"/>
    <w:rsid w:val="21E62252"/>
    <w:rsid w:val="21EA3B0F"/>
    <w:rsid w:val="24D34D10"/>
    <w:rsid w:val="26926505"/>
    <w:rsid w:val="284419C7"/>
    <w:rsid w:val="28F31BA1"/>
    <w:rsid w:val="29D87103"/>
    <w:rsid w:val="2A3D1CDF"/>
    <w:rsid w:val="2B4F6B69"/>
    <w:rsid w:val="2B6E0DD0"/>
    <w:rsid w:val="2B8B12B1"/>
    <w:rsid w:val="2DBF69B2"/>
    <w:rsid w:val="2E551123"/>
    <w:rsid w:val="2EF75A9F"/>
    <w:rsid w:val="307902EB"/>
    <w:rsid w:val="30930421"/>
    <w:rsid w:val="30FA1876"/>
    <w:rsid w:val="37171A61"/>
    <w:rsid w:val="372E4027"/>
    <w:rsid w:val="381274A5"/>
    <w:rsid w:val="38AB6EFD"/>
    <w:rsid w:val="3A5E59CC"/>
    <w:rsid w:val="3E5B01E6"/>
    <w:rsid w:val="3FD05DB3"/>
    <w:rsid w:val="40E63C12"/>
    <w:rsid w:val="40F215D8"/>
    <w:rsid w:val="415428DD"/>
    <w:rsid w:val="41782A6F"/>
    <w:rsid w:val="47743CD8"/>
    <w:rsid w:val="491570B1"/>
    <w:rsid w:val="4CC9200D"/>
    <w:rsid w:val="4E024861"/>
    <w:rsid w:val="4EEF44CD"/>
    <w:rsid w:val="55BB38E7"/>
    <w:rsid w:val="57345FA6"/>
    <w:rsid w:val="57C24474"/>
    <w:rsid w:val="58B7229A"/>
    <w:rsid w:val="58DD4C54"/>
    <w:rsid w:val="594976BD"/>
    <w:rsid w:val="5DFE9AD6"/>
    <w:rsid w:val="5FEA4540"/>
    <w:rsid w:val="610B5D8F"/>
    <w:rsid w:val="63DA463B"/>
    <w:rsid w:val="65240823"/>
    <w:rsid w:val="664B39FF"/>
    <w:rsid w:val="670F7329"/>
    <w:rsid w:val="67B13D35"/>
    <w:rsid w:val="6B4948EF"/>
    <w:rsid w:val="6C1F27DA"/>
    <w:rsid w:val="6DD8026E"/>
    <w:rsid w:val="6E6733A0"/>
    <w:rsid w:val="71FB452B"/>
    <w:rsid w:val="73154050"/>
    <w:rsid w:val="98FB4026"/>
    <w:rsid w:val="B75F5F41"/>
    <w:rsid w:val="E92E1D1D"/>
    <w:rsid w:val="F5DFA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napToGrid w:val="0"/>
      <w:spacing w:line="360" w:lineRule="auto"/>
      <w:jc w:val="left"/>
      <w:outlineLvl w:val="3"/>
    </w:pPr>
    <w:rPr>
      <w:rFonts w:ascii="Arial" w:hAnsi="Arial"/>
      <w:bCs/>
      <w:sz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spacing w:line="360" w:lineRule="auto"/>
      <w:ind w:left="420" w:leftChars="200" w:firstLine="640" w:firstLineChars="200"/>
    </w:pPr>
    <w:rPr>
      <w:sz w:val="24"/>
      <w:szCs w:val="24"/>
    </w:rPr>
  </w:style>
  <w:style w:type="paragraph" w:styleId="4">
    <w:name w:val="Body Text"/>
    <w:basedOn w:val="1"/>
    <w:autoRedefine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autoRedefine/>
    <w:qFormat/>
    <w:uiPriority w:val="99"/>
    <w:rPr>
      <w:rFonts w:ascii="Calibri" w:hAnsi="Calibri"/>
      <w:color w:val="000000"/>
      <w:sz w:val="18"/>
      <w:szCs w:val="18"/>
    </w:rPr>
  </w:style>
  <w:style w:type="paragraph" w:styleId="7">
    <w:name w:val="toc 1"/>
    <w:basedOn w:val="1"/>
    <w:next w:val="1"/>
    <w:qFormat/>
    <w:uiPriority w:val="39"/>
    <w:rPr>
      <w:szCs w:val="24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0">
    <w:name w:val="Title"/>
    <w:basedOn w:val="1"/>
    <w:next w:val="1"/>
    <w:autoRedefine/>
    <w:qFormat/>
    <w:uiPriority w:val="10"/>
    <w:pPr>
      <w:widowControl w:val="0"/>
      <w:spacing w:before="120" w:beforeLines="0" w:after="120" w:afterLines="0"/>
      <w:ind w:firstLine="0" w:firstLineChars="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1">
    <w:name w:val="Body Text First Indent"/>
    <w:basedOn w:val="4"/>
    <w:next w:val="1"/>
    <w:autoRedefine/>
    <w:qFormat/>
    <w:uiPriority w:val="0"/>
    <w:pPr>
      <w:spacing w:after="120"/>
      <w:ind w:firstLine="420" w:firstLineChars="100"/>
    </w:pPr>
  </w:style>
  <w:style w:type="paragraph" w:customStyle="1" w:styleId="14">
    <w:name w:val="Normal (Web)1"/>
    <w:basedOn w:val="1"/>
    <w:next w:val="15"/>
    <w:autoRedefine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15">
    <w:name w:val="Date1"/>
    <w:basedOn w:val="1"/>
    <w:next w:val="1"/>
    <w:qFormat/>
    <w:uiPriority w:val="0"/>
    <w:pPr>
      <w:ind w:left="2500" w:leftChars="2500"/>
    </w:pPr>
  </w:style>
  <w:style w:type="paragraph" w:customStyle="1" w:styleId="16">
    <w:name w:val="baby-正文"/>
    <w:basedOn w:val="4"/>
    <w:next w:val="6"/>
    <w:autoRedefine/>
    <w:qFormat/>
    <w:uiPriority w:val="0"/>
    <w:pPr>
      <w:spacing w:line="240" w:lineRule="auto"/>
      <w:ind w:firstLine="0" w:firstLineChars="0"/>
    </w:pPr>
    <w:rPr>
      <w:rFonts w:ascii="仿宋_GB2312" w:hAnsi="宋体"/>
      <w:bCs/>
      <w:kern w:val="2"/>
      <w:sz w:val="30"/>
      <w:szCs w:val="24"/>
      <w:lang w:val="en-US" w:eastAsia="zh-CN"/>
    </w:rPr>
  </w:style>
  <w:style w:type="paragraph" w:customStyle="1" w:styleId="17">
    <w:name w:val="【正文】"/>
    <w:autoRedefine/>
    <w:qFormat/>
    <w:uiPriority w:val="0"/>
    <w:pPr>
      <w:widowControl/>
      <w:spacing w:line="500" w:lineRule="exact"/>
      <w:jc w:val="left"/>
    </w:pPr>
    <w:rPr>
      <w:rFonts w:ascii="宋体" w:hAnsi="Calibri" w:eastAsia="Calibri" w:cs="Times New Roman"/>
      <w:kern w:val="0"/>
      <w:sz w:val="20"/>
      <w:szCs w:val="20"/>
      <w:lang w:val="en-US" w:eastAsia="zh-CN" w:bidi="ar-SA"/>
    </w:rPr>
  </w:style>
  <w:style w:type="paragraph" w:customStyle="1" w:styleId="18">
    <w:name w:val="Default"/>
    <w:basedOn w:val="19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  <w:lang w:val="en-US" w:eastAsia="zh-CN" w:bidi="ar-SA"/>
    </w:rPr>
  </w:style>
  <w:style w:type="paragraph" w:customStyle="1" w:styleId="19">
    <w:name w:val="纯文本1"/>
    <w:basedOn w:val="1"/>
    <w:autoRedefine/>
    <w:qFormat/>
    <w:uiPriority w:val="0"/>
    <w:rPr>
      <w:rFonts w:hint="eastAsia" w:ascii="宋体" w:hAnsi="Courier New"/>
      <w:szCs w:val="22"/>
    </w:rPr>
  </w:style>
  <w:style w:type="paragraph" w:customStyle="1" w:styleId="20">
    <w:name w:val="正文（首行缩进两字） Char"/>
    <w:basedOn w:val="1"/>
    <w:autoRedefine/>
    <w:qFormat/>
    <w:uiPriority w:val="0"/>
    <w:pPr>
      <w:widowControl/>
      <w:spacing w:line="360" w:lineRule="auto"/>
      <w:ind w:firstLine="420"/>
      <w:jc w:val="both"/>
    </w:pPr>
    <w:rPr>
      <w:rFonts w:ascii="Times New Roman" w:eastAsia="宋体"/>
      <w:szCs w:val="20"/>
    </w:rPr>
  </w:style>
  <w:style w:type="paragraph" w:customStyle="1" w:styleId="21">
    <w:name w:val="正文文字缩进1"/>
    <w:basedOn w:val="5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22">
    <w:name w:val="C首行缩进正文"/>
    <w:basedOn w:val="17"/>
    <w:qFormat/>
    <w:uiPriority w:val="0"/>
    <w:rPr>
      <w:sz w:val="21"/>
    </w:rPr>
  </w:style>
  <w:style w:type="paragraph" w:customStyle="1" w:styleId="23">
    <w:name w:val="正文 + 首行缩进:  2 字符"/>
    <w:basedOn w:val="1"/>
    <w:qFormat/>
    <w:uiPriority w:val="0"/>
    <w:pPr>
      <w:spacing w:line="460" w:lineRule="atLeast"/>
      <w:ind w:firstLine="528"/>
      <w:jc w:val="both"/>
    </w:pPr>
    <w:rPr>
      <w:color w:val="auto"/>
      <w:spacing w:val="12"/>
      <w:szCs w:val="20"/>
    </w:rPr>
  </w:style>
  <w:style w:type="paragraph" w:customStyle="1" w:styleId="24">
    <w:name w:val="11111"/>
    <w:basedOn w:val="1"/>
    <w:next w:val="1"/>
    <w:qFormat/>
    <w:uiPriority w:val="0"/>
    <w:pPr>
      <w:spacing w:line="360" w:lineRule="auto"/>
      <w:ind w:firstLine="200" w:firstLineChars="200"/>
      <w:jc w:val="both"/>
    </w:pPr>
    <w:rPr>
      <w:rFonts w:hAnsi="宋体" w:eastAsia="宋体" w:cs="宋体"/>
      <w:kern w:val="2"/>
      <w:sz w:val="24"/>
    </w:rPr>
  </w:style>
  <w:style w:type="paragraph" w:styleId="25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正文d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1632</Words>
  <Characters>1683</Characters>
  <Lines>0</Lines>
  <Paragraphs>0</Paragraphs>
  <TotalTime>7</TotalTime>
  <ScaleCrop>false</ScaleCrop>
  <LinksUpToDate>false</LinksUpToDate>
  <CharactersWithSpaces>1683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2023-12-26T22:12:00Z</dcterms:created>
  <dc:creator>Dawn</dc:creator>
  <cp:lastModifiedBy>鹤</cp:lastModifiedBy>
  <cp:lastPrinted>2024-01-04T23:41:00Z</cp:lastPrinted>
  <dcterms:modified xsi:type="dcterms:W3CDTF">2025-11-28T04:02:06Z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3180D2A11B3C4E1792B9A7D2941C5DCE_13</vt:lpwstr>
  </property>
  <property fmtid="{D5CDD505-2E9C-101B-9397-08002B2CF9AE}" pid="4" name="KSOTemplateDocerSaveRecord">
    <vt:lpwstr>eyJoZGlkIjoiZmQ0M2ZmZTNmMjRmMTcwNzgzNzFjMTE0ZTk0YTgzOGEiLCJ1c2VySWQiOiI0OTcxNzU2MTIifQ==</vt:lpwstr>
  </property>
</Properties>
</file>