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拟审批意见</w:t>
      </w:r>
    </w:p>
    <w:tbl>
      <w:tblPr>
        <w:tblStyle w:val="16"/>
        <w:tblW w:w="9553" w:type="dxa"/>
        <w:tblCellSpacing w:w="15" w:type="dxa"/>
        <w:tblInd w:w="-477" w:type="dxa"/>
        <w:tblLayout w:type="fixed"/>
        <w:tblCellMar>
          <w:top w:w="0" w:type="dxa"/>
          <w:left w:w="0" w:type="dxa"/>
          <w:bottom w:w="0" w:type="dxa"/>
          <w:right w:w="0" w:type="dxa"/>
        </w:tblCellMar>
      </w:tblPr>
      <w:tblGrid>
        <w:gridCol w:w="1820"/>
        <w:gridCol w:w="7733"/>
      </w:tblGrid>
      <w:tr>
        <w:tblPrEx>
          <w:tblCellMar>
            <w:top w:w="0" w:type="dxa"/>
            <w:left w:w="0" w:type="dxa"/>
            <w:bottom w:w="0" w:type="dxa"/>
            <w:right w:w="0" w:type="dxa"/>
          </w:tblCellMar>
        </w:tblPrEx>
        <w:trPr>
          <w:trHeight w:val="1157" w:hRule="atLeast"/>
          <w:tblCellSpacing w:w="15" w:type="dxa"/>
        </w:trPr>
        <w:tc>
          <w:tcPr>
            <w:tcW w:w="1775" w:type="dxa"/>
            <w:tcBorders>
              <w:top w:val="single" w:color="000000" w:sz="4" w:space="0"/>
              <w:left w:val="single" w:color="000000" w:sz="4" w:space="0"/>
              <w:bottom w:val="single" w:color="000000" w:sz="4" w:space="0"/>
              <w:right w:val="single" w:color="000000" w:sz="4" w:space="0"/>
            </w:tcBorders>
            <w:tcMar>
              <w:left w:w="70" w:type="dxa"/>
              <w:right w:w="70" w:type="dxa"/>
            </w:tcMar>
            <w:vAlign w:val="center"/>
          </w:tcPr>
          <w:p>
            <w:pPr>
              <w:pStyle w:val="14"/>
              <w:widowControl/>
              <w:tabs>
                <w:tab w:val="left" w:pos="105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名称</w:t>
            </w:r>
          </w:p>
        </w:tc>
        <w:tc>
          <w:tcPr>
            <w:tcW w:w="7688" w:type="dxa"/>
            <w:tcBorders>
              <w:top w:val="single" w:color="000000" w:sz="4" w:space="0"/>
              <w:left w:val="nil"/>
              <w:bottom w:val="single" w:color="000000" w:sz="4" w:space="0"/>
              <w:right w:val="single" w:color="000000" w:sz="4" w:space="0"/>
            </w:tcBorders>
            <w:tcMar>
              <w:left w:w="70" w:type="dxa"/>
              <w:right w:w="70" w:type="dxa"/>
            </w:tcMar>
            <w:vAlign w:val="center"/>
          </w:tcPr>
          <w:p>
            <w:pPr>
              <w:pStyle w:val="14"/>
              <w:widowControl/>
              <w:tabs>
                <w:tab w:val="left" w:pos="798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鹤岗市废旧锂电池循环利用项目</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地址</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黑龙江省鹤岗市南山区广亿木业南侧</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黑龙江产链金属制造有限公司</w:t>
            </w:r>
          </w:p>
        </w:tc>
      </w:tr>
      <w:tr>
        <w:tblPrEx>
          <w:tblCellMar>
            <w:top w:w="0" w:type="dxa"/>
            <w:left w:w="0" w:type="dxa"/>
            <w:bottom w:w="0" w:type="dxa"/>
            <w:right w:w="0" w:type="dxa"/>
          </w:tblCellMar>
        </w:tblPrEx>
        <w:trPr>
          <w:trHeight w:val="138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环境影响评价单位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黑龙江能顺环保科技有限公司</w:t>
            </w:r>
          </w:p>
        </w:tc>
      </w:tr>
      <w:tr>
        <w:tblPrEx>
          <w:tblCellMar>
            <w:top w:w="0" w:type="dxa"/>
            <w:left w:w="0" w:type="dxa"/>
            <w:bottom w:w="0" w:type="dxa"/>
            <w:right w:w="0" w:type="dxa"/>
          </w:tblCellMar>
        </w:tblPrEx>
        <w:trPr>
          <w:trHeight w:val="971"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概况</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15" w:lineRule="atLeas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项目建设性质为新建。项目总占地面积17543.5m</w:t>
            </w:r>
            <w:r>
              <w:rPr>
                <w:rFonts w:hint="eastAsia" w:ascii="Times New Roman" w:hAnsi="Times New Roman" w:eastAsia="仿宋_GB2312" w:cs="仿宋_GB2312"/>
                <w:color w:val="auto"/>
                <w:kern w:val="0"/>
                <w:sz w:val="32"/>
                <w:szCs w:val="32"/>
                <w:vertAlign w:val="superscript"/>
                <w:lang w:val="en-US" w:eastAsia="zh-CN"/>
              </w:rPr>
              <w:t>2</w:t>
            </w:r>
            <w:r>
              <w:rPr>
                <w:rFonts w:hint="eastAsia" w:ascii="Times New Roman" w:hAnsi="Times New Roman" w:eastAsia="仿宋_GB2312" w:cs="仿宋_GB2312"/>
                <w:color w:val="auto"/>
                <w:kern w:val="0"/>
                <w:sz w:val="32"/>
                <w:szCs w:val="32"/>
                <w:lang w:val="en-US" w:eastAsia="zh-CN"/>
              </w:rPr>
              <w:t>，分为两期建设，一期建设一条废旧锂电池处理生产线，废旧锂电池年处理量为6000t（其中废旧三元锂电池为5000t/a、废旧磷酸铁锂电池为1000t/a）；二期分别在厂房中建设五条生产线，分别为3条废旧正极片处理生产线和2条废旧负极片处理生产线。废旧三元锂电池正、负极片总年处理量均为6000t。（项目不考虑《电动汽车用动力蓄电池安全要求》（GB38031-2025）中三元锂电池、磷酸铁锂电池的新增组分，涉及新增组分内容，另行环评）。冬季三个车间采用电取暖供暖。总投资为19000万元，其中环保投资为135.5万元。</w:t>
            </w:r>
          </w:p>
        </w:tc>
      </w:tr>
      <w:tr>
        <w:tblPrEx>
          <w:tblCellMar>
            <w:top w:w="0" w:type="dxa"/>
            <w:left w:w="0" w:type="dxa"/>
            <w:bottom w:w="0" w:type="dxa"/>
            <w:right w:w="0" w:type="dxa"/>
          </w:tblCellMar>
        </w:tblPrEx>
        <w:trPr>
          <w:trHeight w:val="311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snapToGrid w:val="0"/>
              <w:spacing w:before="0" w:after="0" w:line="360" w:lineRule="auto"/>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主要环境影响及预防或者减轻不良影响的对策和措施</w:t>
            </w:r>
          </w:p>
        </w:tc>
        <w:tc>
          <w:tcPr>
            <w:tcW w:w="7688" w:type="dxa"/>
            <w:tcBorders>
              <w:top w:val="nil"/>
              <w:left w:val="nil"/>
              <w:bottom w:val="single" w:color="000000" w:sz="4" w:space="0"/>
              <w:right w:val="single" w:color="000000" w:sz="4" w:space="0"/>
            </w:tcBorders>
            <w:tcMar>
              <w:left w:w="70" w:type="dxa"/>
              <w:right w:w="70" w:type="dxa"/>
            </w:tcMar>
            <w:vAlign w:val="center"/>
          </w:tcPr>
          <w:p>
            <w:pPr>
              <w:autoSpaceDN w:val="0"/>
              <w:adjustRightInd w:val="0"/>
              <w:snapToGrid w:val="0"/>
              <w:spacing w:line="360" w:lineRule="auto"/>
              <w:ind w:firstLine="640" w:firstLineChars="200"/>
              <w:rPr>
                <w:rFonts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一、施工期</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（一）大气污染防治措施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1、施工扬尘</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（1）所有来往施工场地的多尘物料均应用帆布覆盖，工程弃土等运输采用密闭运输车辆。</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（2）运输道路应当及时洒水，保持湿润。</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（3）应定期清扫施工场地减少扬尘产生量。</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采取以上措施后，可以有效减少粉尘产生量，能够满足《大气污染物综合排放标准》（GB16297-1996）表2的无组织排放限值。</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2、施工机械废气</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施工废气主要来自施工机械驱动设备的废气、运输车辆尾气，主要污染物是NO</w:t>
            </w:r>
            <w:r>
              <w:rPr>
                <w:rFonts w:hint="eastAsia" w:ascii="Times New Roman" w:hAnsi="Times New Roman" w:eastAsia="仿宋_GB2312" w:cs="仿宋_GB2312"/>
                <w:color w:val="auto"/>
                <w:kern w:val="0"/>
                <w:sz w:val="32"/>
                <w:szCs w:val="32"/>
                <w:vertAlign w:val="subscript"/>
                <w:lang w:val="en-US" w:eastAsia="zh-CN" w:bidi="ar-SA"/>
              </w:rPr>
              <w:t>2</w:t>
            </w:r>
            <w:r>
              <w:rPr>
                <w:rFonts w:hint="eastAsia" w:ascii="Times New Roman" w:hAnsi="Times New Roman" w:eastAsia="仿宋_GB2312" w:cs="仿宋_GB2312"/>
                <w:color w:val="auto"/>
                <w:kern w:val="0"/>
                <w:sz w:val="32"/>
                <w:szCs w:val="32"/>
                <w:lang w:val="en-US" w:eastAsia="zh-CN" w:bidi="ar-SA"/>
              </w:rPr>
              <w:t>、CO，由于运输车辆为流动性的，施工机械较为分散，数量较少，废气产生量有限，对施工区域局部环境会产生一定的影响，但该类污染物对环境的影响是暂时的，施工结束后，施工机械废气影响随即消失。</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（二）水染防治措施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施工时生活污水排入防渗旱厕、定期外运清掏、不外排；工地施工废水应设置废水沉淀池处理，沉淀池处理后用于洒水降尘和施工回用水。</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（三）噪声污染防治措施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1、设备噪声污染防治措施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尽量选用低噪声设备，并加强它们的检修与维护，使之始终处于良好的工作状态。装卸车辆等进出场地应限速、禁鸣。</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建设单位应通过合理安排施工运输路线，运输车辆路线尽量避开人群集聚地区。</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2、合理安排施工时间</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合理安排施工时间，避免强噪声设备同时施工、持续作业；夜间（22：00以后）禁止进行高噪设备施工作业，把对周围环境的影响降到最低。</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3、降低人为噪声</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机械设备等在装卸过程中，应尽量避免碰撞，以减少噪声的产生；尽量少用哨子指挥作业。</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（四）固体废物防治措施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施工期的固废主要为生活垃圾和建筑垃圾，生活垃圾收集后统一由环卫部门清运处置；建筑垃圾及时清运至市政指定的倾倒地点。</w:t>
            </w:r>
          </w:p>
          <w:p>
            <w:pPr>
              <w:keepNext w:val="0"/>
              <w:keepLines w:val="0"/>
              <w:pageBreakBefore w:val="0"/>
              <w:tabs>
                <w:tab w:val="left" w:pos="6480"/>
              </w:tabs>
              <w:kinsoku/>
              <w:wordWrap/>
              <w:overflowPunct/>
              <w:topLinePunct w:val="0"/>
              <w:autoSpaceDE/>
              <w:bidi w:val="0"/>
              <w:adjustRightInd w:val="0"/>
              <w:snapToGrid w:val="0"/>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（五）生态防治措施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施工期间各种施工噪声增多，施工造成空气中扬尘增加以及施工人员活动频繁等因素影响，会对施工场地周围的野生动物造成一定的干扰，本工程施工所在地及周边大都为农田，受人类活动影响，野生动物种类及数量很少，主要以田鼠、麻雀、喜鹊等，施工活动对野生动物产生的影响很小。</w:t>
            </w:r>
          </w:p>
          <w:p>
            <w:pPr>
              <w:autoSpaceDN w:val="0"/>
              <w:adjustRightInd w:val="0"/>
              <w:snapToGrid w:val="0"/>
              <w:spacing w:line="360" w:lineRule="auto"/>
              <w:ind w:firstLine="64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、运营期</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（一）大气污染防治措施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1、一期工程</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厂房1#废旧锂电池处理生产线：电池拆解产生的颗粒物，收集后经布袋除尘器处理；烘干过程产生的氟化物和非甲烷总烃，收集后通过“碱液喷淋+除雾装置+二级活性炭吸附装置处理”处理后，通过1根15m高排气筒排放。电池破碎、分选等产生的颗粒物、镍及其化合物、钴及其化合物和锰及其化合物等通过布袋除尘器处理后，与拆解、烘干工序共用1根15m排气筒排放。包装等产生的颗粒物在落料口设置负压装置+布袋除尘器，袋口紧贴落料口，落料口粉尘沉降在布袋除尘器内。通过采取以上措施后，项目生产工序产生的有组织颗粒物、镍及其化合物、氟化物、非甲烷总烃满足《大气污染物综合排放标准》（GB16297-1996）表2中二级排放限值。有组织锰及其化合物、钴及其化合物满足参照的《无机化学工业污染物排放标准》（GB31573-2015）及修改单中表3大气污染物排放限值（由于锰及其化合物、钴及其化合物排放限值在《大气污染物综合排放标准》（GB16297-1996）和行业标准中都没有，项目参照《无机化学工业污染物排放标准》（GB31573-2015）及修改单中排放限值予以控制）。</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厂区内无组织非甲烷总烃排放满足《挥发性有机物无组织排放控制标准》（GB37822-2019）中A.1排放限值要求。无组织颗粒物执行《大气污染物综合排放标准》（GB16297-1996）表2中无组织排放监控浓度限值。</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危险废物贮存库产生的少量非甲烷总烃，采取集气罩+活性炭吸附装置处理后，通过1根15m高排气筒排放。非甲烷总烃排放满足《大气污染物综合排放标准》（GB16297-1996）表2有组织最高允许排放浓度标准限值要求；厂区内无组织非甲烷总烃排放满足《挥发性有机物无组织排放控制标准》（GB37822-2019）中A.1排放限值；厂区外非甲烷总烃浓度满足《大气污染物综合排放标准》（GB16297-1996）表2中非甲烷总烃周界外浓度最高点无组织排放监控浓度限值。</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2、二期工程</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厂房1#新增的正极片处理生产线，破碎、分选等产生的颗粒物通过布袋除尘器处理后，通过与废旧锂电池处理生产线共用1根15m排气筒排放。厂房2#正极、负极片处理生产线，破碎、分选等产生的颗粒物通过布袋除尘器处理后，通过共用1根15m排气筒排放。厂房3#正极、负极片处理生产线，通过布袋除尘器处理后，通过共用1根15m排气筒排放。包装等产生的废气在落料口设置负压装置+布袋除尘器，袋口紧贴落料口，落料口粉尘沉降在布袋除尘器内。项目生产工序产生的有组织颗粒物、镍及其化合物满足《大气污染物综合排放标准》（GB16297-1996）表2中二级排放限值。有组织锰及其化合物、钴及其化合物满足参照的《无机化学工业污染物排放标准》（GB31573-2015）及修改单中表3大气污染物排放限值（由于锰及其化合物、钴及其化合物排放限值在《大气污染物综合排放标准》（GB16297-1996）和行业标准中都没有，项目参照《无机化学工业污染物排放标准》（GB31573-2015）及修改单中排放限值予以控制）。</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（二）水污染防治措施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生活污水排入防渗旱厕，定期清掏、外运堆肥。喷淋废水通过厂区内污水处理站处理后，回用于喷淋。本项目建设污水处理站一座，建筑面积180m</w:t>
            </w:r>
            <w:r>
              <w:rPr>
                <w:rFonts w:hint="eastAsia" w:ascii="Times New Roman" w:hAnsi="Times New Roman" w:eastAsia="仿宋_GB2312" w:cs="仿宋_GB2312"/>
                <w:color w:val="auto"/>
                <w:kern w:val="0"/>
                <w:sz w:val="32"/>
                <w:szCs w:val="32"/>
                <w:vertAlign w:val="superscript"/>
                <w:lang w:val="en-US" w:eastAsia="zh-CN" w:bidi="ar-SA"/>
              </w:rPr>
              <w:t>2</w:t>
            </w:r>
            <w:r>
              <w:rPr>
                <w:rFonts w:hint="eastAsia" w:ascii="Times New Roman" w:hAnsi="Times New Roman" w:eastAsia="仿宋_GB2312" w:cs="仿宋_GB2312"/>
                <w:color w:val="auto"/>
                <w:kern w:val="0"/>
                <w:sz w:val="32"/>
                <w:szCs w:val="32"/>
                <w:lang w:val="en-US" w:eastAsia="zh-CN" w:bidi="ar-SA"/>
              </w:rPr>
              <w:t>，设计水处理能力5m</w:t>
            </w:r>
            <w:r>
              <w:rPr>
                <w:rFonts w:hint="eastAsia" w:ascii="Times New Roman" w:hAnsi="Times New Roman" w:eastAsia="仿宋_GB2312" w:cs="仿宋_GB2312"/>
                <w:color w:val="auto"/>
                <w:kern w:val="0"/>
                <w:sz w:val="32"/>
                <w:szCs w:val="32"/>
                <w:vertAlign w:val="superscript"/>
                <w:lang w:val="en-US" w:eastAsia="zh-CN" w:bidi="ar-SA"/>
              </w:rPr>
              <w:t>3</w:t>
            </w:r>
            <w:r>
              <w:rPr>
                <w:rFonts w:hint="eastAsia" w:ascii="Times New Roman" w:hAnsi="Times New Roman" w:eastAsia="仿宋_GB2312" w:cs="仿宋_GB2312"/>
                <w:color w:val="auto"/>
                <w:kern w:val="0"/>
                <w:sz w:val="32"/>
                <w:szCs w:val="32"/>
                <w:lang w:val="en-US" w:eastAsia="zh-CN" w:bidi="ar-SA"/>
              </w:rPr>
              <w:t>/d。污水处理采用“调节池+混凝沉淀+砂滤”处理工艺，可以满足本项目废水处理要求。本次评价认为项目废水达标排放后对地表水环境影响较小，不会改变纳污水体的环境质量功能。</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（三）噪声污染防治措施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项目噪声主要来自撕碎机和滚筒筛分机等设备，其噪声值约为70-85dB（A），选用低噪声设备、定期维护、厂房隔声、合理布局，进出车辆采用加强管理、设置禁鸣、限速标识等防治措施从源头控制噪声污染。</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经预测，厂界昼间噪声预测值在19.28dB(A)～25.33dB(A)之间，夜间噪声预测值在19.28dB(A)～25.33dB(A)之间，厂界北侧、东侧和南侧昼夜间噪声预测值满足《工业企业厂界环境噪声排放标准》（GB12348-2008）3类标准要求；厂界西侧昼夜间噪声预测值满足《工业企业厂界环境噪声排放标准》（GB12348-2008）4类标准要求。</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（四）固体废物治理</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废旧锂电池电解液、废棉花、喷淋沉渣、废活性炭、废石英砂、废机油、废布袋、含油污泥和污水处理站污泥暂存在危险废物贮存库，定期由有资质的单位回收处置。（一期）布袋除尘器收集的除尘灰、二期（正极片处理生产线）布袋除尘器收集的除尘灰、二期（负极片处理生产线）布袋除尘器收集的除尘灰随产品外售。生活垃圾由垃圾桶集中收集，由市政环卫部门清运处理。</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经过上述措施处理后，项目产生的各类固体废弃物均得到合理处置，不会产生固废二次污染，对周围环境影响很小。</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lang w:val="zh-CN" w:eastAsia="zh-CN"/>
              </w:rPr>
              <w:t>地下水污染防治措施</w:t>
            </w:r>
          </w:p>
          <w:p>
            <w:pPr>
              <w:tabs>
                <w:tab w:val="left" w:pos="6480"/>
              </w:tabs>
              <w:adjustRightInd w:val="0"/>
              <w:snapToGrid w:val="0"/>
              <w:spacing w:line="360" w:lineRule="auto"/>
              <w:ind w:firstLine="640" w:firstLineChars="200"/>
              <w:rPr>
                <w:rFonts w:hint="default"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项目采取源头控制、分区防控、污染监控、应急响应等污染防控对策。地下水污染防渗分区包括重点防渗区、一般防渗区、简单防渗区。其中危险废物贮存</w:t>
            </w:r>
            <w:r>
              <w:rPr>
                <w:rFonts w:hint="eastAsia" w:ascii="Times New Roman" w:hAnsi="Times New Roman" w:eastAsia="仿宋_GB2312" w:cs="仿宋_GB2312"/>
                <w:color w:val="auto"/>
                <w:kern w:val="0"/>
                <w:sz w:val="32"/>
                <w:szCs w:val="32"/>
                <w:lang w:val="en-US" w:eastAsia="zh-CN" w:bidi="ar-SA"/>
              </w:rPr>
              <w:t>库</w:t>
            </w:r>
            <w:r>
              <w:rPr>
                <w:rFonts w:hint="default" w:ascii="Times New Roman" w:hAnsi="Times New Roman" w:eastAsia="仿宋_GB2312" w:cs="仿宋_GB2312"/>
                <w:color w:val="auto"/>
                <w:kern w:val="0"/>
                <w:sz w:val="32"/>
                <w:szCs w:val="32"/>
                <w:lang w:val="en-US" w:eastAsia="zh-CN" w:bidi="ar-SA"/>
              </w:rPr>
              <w:t>、车间、污水处理站、初期雨水池、事故水池为重点防渗区；原料库、成品库、一般固废贮存库为一般防渗区；办公楼为简单防渗区。</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根据《危险废物贮存污染控制标准》（GB 18597-2023）、《地下水环境监测技术规范》（HJ/T164-2004）、《排污单位自行监测技术指南 总则》（HJ 819-2017）、《排污许可证申请与核发技术规范 废弃资源加工工业》（HJ 1034-2019）中的相关要求，在厂外设置1座监测井，对地下水水质进行监控。</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en-US" w:eastAsia="zh-CN"/>
              </w:rPr>
              <w:t>（六）</w:t>
            </w:r>
            <w:r>
              <w:rPr>
                <w:rFonts w:hint="eastAsia" w:ascii="楷体" w:hAnsi="楷体" w:eastAsia="楷体" w:cs="楷体"/>
                <w:b/>
                <w:bCs/>
                <w:color w:val="auto"/>
                <w:sz w:val="32"/>
                <w:szCs w:val="32"/>
                <w:lang w:val="zh-CN" w:eastAsia="zh-CN"/>
              </w:rPr>
              <w:t>土壤环境污染防治措施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对土壤可能产生影响的途径主要为生产过程或者事故情况下，会有部分污染物随着进入土壤。一方面定期检查环保措施，破损及失效及时更换，另一方面对车间区域采用防渗措施，项目固体废物不会随意堆放，危险废物存于危险废物贮存库，该危险废物贮存库将按照《危险废物贮存污染控制标准》（GB18597-2023）进行防渗设计，处置后对土壤影响较小，可以从源头上控制对土壤的污染。</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（七）生态污染防治措施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运营期厂区设置绿化带，主要种植乔木、灌木、花卉及草，可以有效减缓对区域生态的影响。</w:t>
            </w:r>
          </w:p>
          <w:p>
            <w:pPr>
              <w:autoSpaceDN w:val="0"/>
              <w:adjustRightInd w:val="0"/>
              <w:snapToGrid w:val="0"/>
              <w:spacing w:line="360" w:lineRule="auto"/>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三、环境风险防范措施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根据《建设项目环境风险评价技术导则》（HJ 169-2018）附录 B识别出项目所涉及的环境风险物质主要是废机油、废旧锂电池电解液、镍及其化合物、钴及其化合物、锰及其化合物和铜及其化合物等。根据《建设项目环境风险评价技术导则》（HJ 169-2018），环境风险潜势为I。经过对项目主要危险物质及分布情况、可能影响环境的途径分析后，针对项目可能带来的风险，提出以下防范措施和事故应急措施：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1、防范措施和监控要求</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在厂区施工及检修等过程中，应在施工区设置围挡，严禁动火，如确需采取焊接等动火工艺的，应向公司申报，经批准、并将车间内的其他生产装置停产后，方可施工；施工过程中，应远离原料库、产品库；远离物料输送管线、廊道等设施，防止发生连锁风险事故。</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（2）各类物质分类贮存，易燃易爆物质远离火种，相互接触可能发生反应的化学品应单独放置；易发生伴生/次生反应的物质需根据各自的物质特性进行单独存储。</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（3）强化车间生产风险防范。按照规范要求配置足够的自动控制等风险防范措施，加强安全环保管理，降低事故连锁效应和重叠继发事故的危险性。</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（4）各废气处理设施一旦发生事故，应立即启动应急程序，及时检修，避免废气未经处理就对外排放。同时使用的活性炭或者布袋除尘器应定期更换，避免吸附效率和除尘效率的下降。</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2、减缓措施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（1）密闭空间内发生的泄漏等突发环境事故引发的大气污染，首先应通过车间内废气处理措施予以收集。</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2）敞开空间内的泄漏事故发生时，应首先查找泄漏源，及时修补容器或管道，以防污染物更多的泄漏；为降低物料向大气中的蒸发速度，可用泡沫或其他覆盖物品覆盖外泄的物料，在其表面形成覆盖层，抑制其蒸发，以减小对环境空气的影响。极易挥发物料发生泄漏后，应对扩散至大气中的污染物采用洗消等措施，减小对环境空气的影响。</w:t>
            </w:r>
          </w:p>
          <w:p>
            <w:pPr>
              <w:tabs>
                <w:tab w:val="left" w:pos="6480"/>
              </w:tabs>
              <w:adjustRightInd w:val="0"/>
              <w:snapToGrid w:val="0"/>
              <w:spacing w:line="360" w:lineRule="auto"/>
              <w:ind w:firstLine="640" w:firstLineChars="200"/>
              <w:rPr>
                <w:rFonts w:eastAsia="仿宋"/>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（3）火灾、爆炸等事故发生时，应使用水、干粉、泡沫或二氧化碳灭火器扑救，尽可能减少次生/伴生污染物对环境空气的影响。</w:t>
            </w:r>
          </w:p>
        </w:tc>
      </w:tr>
      <w:tr>
        <w:tblPrEx>
          <w:tblCellMar>
            <w:top w:w="0" w:type="dxa"/>
            <w:left w:w="0" w:type="dxa"/>
            <w:bottom w:w="0" w:type="dxa"/>
            <w:right w:w="0" w:type="dxa"/>
          </w:tblCellMar>
        </w:tblPrEx>
        <w:trPr>
          <w:trHeight w:val="1223"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公众参与情况</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已开展</w:t>
            </w:r>
          </w:p>
        </w:tc>
      </w:tr>
      <w:tr>
        <w:tblPrEx>
          <w:tblCellMar>
            <w:top w:w="0" w:type="dxa"/>
            <w:left w:w="0" w:type="dxa"/>
            <w:bottom w:w="0" w:type="dxa"/>
            <w:right w:w="0" w:type="dxa"/>
          </w:tblCellMar>
        </w:tblPrEx>
        <w:trPr>
          <w:trHeight w:val="4422"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建设单位或地方政府所作出的相应环境保护措施承诺文件</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拟批复</w:t>
            </w:r>
          </w:p>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意见</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同意</w:t>
            </w:r>
          </w:p>
        </w:tc>
      </w:tr>
    </w:tbl>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仿宋_GB2312"/>
          <w:color w:val="auto"/>
          <w:kern w:val="0"/>
          <w:sz w:val="32"/>
          <w:szCs w:val="32"/>
          <w:lang w:val="en-US" w:eastAsia="zh-CN" w:bidi="ar-SA"/>
        </w:rPr>
      </w:pPr>
    </w:p>
    <w:p>
      <w:pPr>
        <w:pStyle w:val="2"/>
        <w:rPr>
          <w:rFonts w:hint="eastAsia"/>
          <w:lang w:val="en-US" w:eastAsia="zh-CN"/>
        </w:rPr>
        <w:sectPr>
          <w:pgSz w:w="11906" w:h="16838"/>
          <w:pgMar w:top="1440" w:right="1800" w:bottom="1440" w:left="1800" w:header="851" w:footer="992" w:gutter="0"/>
          <w:cols w:space="720" w:num="1"/>
          <w:docGrid w:type="lines" w:linePitch="312" w:charSpace="0"/>
        </w:sectPr>
      </w:pPr>
    </w:p>
    <w:p>
      <w:pPr>
        <w:rPr>
          <w:rFonts w:hint="eastAsia"/>
          <w:lang w:val="en-US" w:eastAsia="zh-CN"/>
        </w:rPr>
        <w:sectPr>
          <w:pgSz w:w="11906" w:h="16838"/>
          <w:pgMar w:top="1440" w:right="1800" w:bottom="1440" w:left="1800" w:header="851" w:footer="992" w:gutter="0"/>
          <w:cols w:space="720" w:num="1"/>
          <w:docGrid w:type="lines" w:linePitch="312" w:charSpace="0"/>
        </w:sectPr>
      </w:pPr>
    </w:p>
    <w:tbl>
      <w:tblPr>
        <w:tblStyle w:val="16"/>
        <w:tblW w:w="9553" w:type="dxa"/>
        <w:tblCellSpacing w:w="15" w:type="dxa"/>
        <w:tblInd w:w="-477" w:type="dxa"/>
        <w:tblLayout w:type="fixed"/>
        <w:tblCellMar>
          <w:top w:w="0" w:type="dxa"/>
          <w:left w:w="0" w:type="dxa"/>
          <w:bottom w:w="0" w:type="dxa"/>
          <w:right w:w="0" w:type="dxa"/>
        </w:tblCellMar>
      </w:tblPr>
      <w:tblGrid>
        <w:gridCol w:w="1820"/>
        <w:gridCol w:w="7733"/>
      </w:tblGrid>
      <w:tr>
        <w:tblPrEx>
          <w:tblCellMar>
            <w:top w:w="0" w:type="dxa"/>
            <w:left w:w="0" w:type="dxa"/>
            <w:bottom w:w="0" w:type="dxa"/>
            <w:right w:w="0" w:type="dxa"/>
          </w:tblCellMar>
        </w:tblPrEx>
        <w:trPr>
          <w:trHeight w:val="1157" w:hRule="atLeast"/>
          <w:tblCellSpacing w:w="15" w:type="dxa"/>
        </w:trPr>
        <w:tc>
          <w:tcPr>
            <w:tcW w:w="1775" w:type="dxa"/>
            <w:tcBorders>
              <w:top w:val="single" w:color="000000" w:sz="4" w:space="0"/>
              <w:left w:val="single" w:color="000000" w:sz="4" w:space="0"/>
              <w:bottom w:val="single" w:color="000000" w:sz="4" w:space="0"/>
              <w:right w:val="single" w:color="000000" w:sz="4" w:space="0"/>
            </w:tcBorders>
            <w:tcMar>
              <w:left w:w="70" w:type="dxa"/>
              <w:right w:w="70" w:type="dxa"/>
            </w:tcMar>
            <w:vAlign w:val="center"/>
          </w:tcPr>
          <w:p>
            <w:pPr>
              <w:pStyle w:val="14"/>
              <w:widowControl/>
              <w:tabs>
                <w:tab w:val="left" w:pos="105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名称</w:t>
            </w:r>
          </w:p>
        </w:tc>
        <w:tc>
          <w:tcPr>
            <w:tcW w:w="7688" w:type="dxa"/>
            <w:tcBorders>
              <w:top w:val="single" w:color="000000" w:sz="4" w:space="0"/>
              <w:left w:val="nil"/>
              <w:bottom w:val="single" w:color="000000" w:sz="4" w:space="0"/>
              <w:right w:val="single" w:color="000000" w:sz="4" w:space="0"/>
            </w:tcBorders>
            <w:tcMar>
              <w:left w:w="70" w:type="dxa"/>
              <w:right w:w="70" w:type="dxa"/>
            </w:tcMar>
            <w:vAlign w:val="center"/>
          </w:tcPr>
          <w:p>
            <w:pPr>
              <w:pStyle w:val="14"/>
              <w:widowControl/>
              <w:tabs>
                <w:tab w:val="left" w:pos="7980"/>
              </w:tabs>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鹤岗市坦鑫洗煤厂项目</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地址</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黑龙江省鹤岗市兴安区红旗镇峻丰村</w:t>
            </w: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w:t>
            </w:r>
          </w:p>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鹤岗市坦鑫煤炭销售有限公司</w:t>
            </w:r>
          </w:p>
        </w:tc>
      </w:tr>
      <w:tr>
        <w:tblPrEx>
          <w:tblCellMar>
            <w:top w:w="0" w:type="dxa"/>
            <w:left w:w="0" w:type="dxa"/>
            <w:bottom w:w="0" w:type="dxa"/>
            <w:right w:w="0" w:type="dxa"/>
          </w:tblCellMar>
        </w:tblPrEx>
        <w:trPr>
          <w:trHeight w:val="138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环境影响评价单位</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黑龙江</w:t>
            </w:r>
            <w:r>
              <w:rPr>
                <w:rFonts w:hint="eastAsia" w:ascii="仿宋_GB2312" w:hAnsi="仿宋_GB2312" w:eastAsia="仿宋_GB2312" w:cs="仿宋_GB2312"/>
                <w:color w:val="auto"/>
                <w:kern w:val="0"/>
                <w:sz w:val="32"/>
                <w:szCs w:val="32"/>
                <w:lang w:eastAsia="zh-CN"/>
              </w:rPr>
              <w:t>环锦环保</w:t>
            </w:r>
            <w:r>
              <w:rPr>
                <w:rFonts w:hint="eastAsia" w:ascii="仿宋_GB2312" w:hAnsi="仿宋_GB2312" w:eastAsia="仿宋_GB2312" w:cs="仿宋_GB2312"/>
                <w:color w:val="auto"/>
                <w:kern w:val="0"/>
                <w:sz w:val="32"/>
                <w:szCs w:val="32"/>
              </w:rPr>
              <w:t>科技有限公司</w:t>
            </w:r>
          </w:p>
        </w:tc>
      </w:tr>
      <w:tr>
        <w:tblPrEx>
          <w:tblCellMar>
            <w:top w:w="0" w:type="dxa"/>
            <w:left w:w="0" w:type="dxa"/>
            <w:bottom w:w="0" w:type="dxa"/>
            <w:right w:w="0" w:type="dxa"/>
          </w:tblCellMar>
        </w:tblPrEx>
        <w:trPr>
          <w:trHeight w:val="971"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w:t>
            </w:r>
          </w:p>
          <w:p>
            <w:pPr>
              <w:pStyle w:val="14"/>
              <w:widowControl/>
              <w:spacing w:beforeAutospacing="0" w:afterAutospacing="0" w:line="15" w:lineRule="atLeas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概况</w:t>
            </w:r>
          </w:p>
        </w:tc>
        <w:tc>
          <w:tcPr>
            <w:tcW w:w="7688" w:type="dxa"/>
            <w:tcBorders>
              <w:top w:val="nil"/>
              <w:left w:val="nil"/>
              <w:bottom w:val="single" w:color="000000" w:sz="4" w:space="0"/>
              <w:right w:val="single" w:color="000000" w:sz="4" w:space="0"/>
            </w:tcBorders>
            <w:tcMar>
              <w:left w:w="70" w:type="dxa"/>
              <w:right w:w="7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15" w:lineRule="atLeas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bidi="ar-SA"/>
              </w:rPr>
              <w:t>项目建设性质为新建。占地面积45000m</w:t>
            </w:r>
            <w:r>
              <w:rPr>
                <w:rFonts w:hint="eastAsia" w:ascii="Times New Roman" w:hAnsi="Times New Roman" w:eastAsia="仿宋_GB2312" w:cs="仿宋_GB2312"/>
                <w:color w:val="auto"/>
                <w:kern w:val="0"/>
                <w:sz w:val="32"/>
                <w:szCs w:val="32"/>
                <w:vertAlign w:val="superscript"/>
                <w:lang w:val="en-US" w:eastAsia="zh-CN" w:bidi="ar-SA"/>
              </w:rPr>
              <w:t>2</w:t>
            </w:r>
            <w:r>
              <w:rPr>
                <w:rFonts w:hint="eastAsia" w:ascii="Times New Roman" w:hAnsi="Times New Roman" w:eastAsia="仿宋_GB2312" w:cs="仿宋_GB2312"/>
                <w:color w:val="auto"/>
                <w:kern w:val="0"/>
                <w:sz w:val="32"/>
                <w:szCs w:val="32"/>
                <w:lang w:val="en-US" w:eastAsia="zh-CN" w:bidi="ar-SA"/>
              </w:rPr>
              <w:t>，项目场址现状占地类型为工业用地。新建1条跳汰法原煤洗选生产线，1条矸石洗选生产线，厂区内设有生产生间、综合用房、原煤堆放库、精煤堆放库中煤堆放库、矸石堆放库等。项目建设完成后年洗选原煤30万吨，年洗选矸石5万吨。项目年工作300天，1班制，每班8小时。项目总投资为1200万元，环保投资为53.5万元。</w:t>
            </w:r>
          </w:p>
        </w:tc>
      </w:tr>
      <w:tr>
        <w:tblPrEx>
          <w:tblCellMar>
            <w:top w:w="0" w:type="dxa"/>
            <w:left w:w="0" w:type="dxa"/>
            <w:bottom w:w="0" w:type="dxa"/>
            <w:right w:w="0" w:type="dxa"/>
          </w:tblCellMar>
        </w:tblPrEx>
        <w:trPr>
          <w:trHeight w:val="3114"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pStyle w:val="14"/>
              <w:snapToGrid w:val="0"/>
              <w:spacing w:before="0" w:after="0" w:line="360" w:lineRule="auto"/>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bidi="ar-SA"/>
              </w:rPr>
              <w:t>主要环境影响及预防或者减轻不良影响的对策和措施</w:t>
            </w:r>
          </w:p>
        </w:tc>
        <w:tc>
          <w:tcPr>
            <w:tcW w:w="7688" w:type="dxa"/>
            <w:tcBorders>
              <w:top w:val="nil"/>
              <w:left w:val="nil"/>
              <w:bottom w:val="single" w:color="000000" w:sz="4" w:space="0"/>
              <w:right w:val="single" w:color="000000" w:sz="4" w:space="0"/>
            </w:tcBorders>
            <w:tcMar>
              <w:left w:w="70" w:type="dxa"/>
              <w:right w:w="70" w:type="dxa"/>
            </w:tcMar>
            <w:vAlign w:val="center"/>
          </w:tcPr>
          <w:p>
            <w:pPr>
              <w:autoSpaceDN w:val="0"/>
              <w:adjustRightInd w:val="0"/>
              <w:snapToGrid w:val="0"/>
              <w:spacing w:line="360" w:lineRule="auto"/>
              <w:ind w:firstLine="640" w:firstLineChars="200"/>
              <w:rPr>
                <w:rFonts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一、施工期</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施工人员进入到现场后，在建设临时设施后，应设置沉淀池等处理设施，施工废水经沉淀池处理后回用，不外排；施工人员生活污水排入现有防渗旱厕，定期清掏，外运堆肥，不外排。施工期采取设置围挡，使用商品混凝土；粉性物料集中地点存放并加盖苫布等措施；干燥天气应经常性给沙堆洒水，保持沙堆一定的湿度，减少起尘量。施工期加强施工管理，合理安排作业时间，严格执行施工噪声管理的有关规定；尽量采用低噪声施工设备和噪声低的施工方法；作业时在高噪声设备周围设置屏蔽；加强运输车辆的管理，建材等运输在白天进行，并控制车辆鸣笛，禁止22：00-6：00时间段内运输和施工。施工期产生的生活垃圾集中收集，送往环卫部门指定的地点处置；其他一般工业固体废物应及时清运至指定地点处置，防止建筑垃圾对外环境的影响。加强管理及施工人员生态保护意识教育，施工期间，严格落实各项水土保持和生态保护措施，防止水土流失。</w:t>
            </w:r>
          </w:p>
          <w:p>
            <w:pPr>
              <w:autoSpaceDN w:val="0"/>
              <w:adjustRightInd w:val="0"/>
              <w:snapToGrid w:val="0"/>
              <w:spacing w:line="360" w:lineRule="auto"/>
              <w:ind w:firstLine="64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、运营期</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（一）大气污染防治措施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1、</w:t>
            </w:r>
            <w:r>
              <w:rPr>
                <w:rFonts w:hint="eastAsia" w:ascii="Times New Roman" w:hAnsi="Times New Roman" w:eastAsia="仿宋_GB2312" w:cs="仿宋_GB2312"/>
                <w:color w:val="auto"/>
                <w:kern w:val="0"/>
                <w:sz w:val="32"/>
                <w:szCs w:val="32"/>
                <w:lang w:val="en-US" w:eastAsia="zh-CN" w:bidi="ar-SA"/>
              </w:rPr>
              <w:t>物料堆放粉尘</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原煤堆放库、中煤堆放库、矸石堆放库为钢结构全封闭厂房、无组织粉尘在车间内自然沉降，通过对场地硬化、设置喷淋设施等，并定期打扫车间地面，保持地面清洁，粉尘排放可以满足《煤炭工业污染物排放标准》（GB20426-2006）标准要求。</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2、</w:t>
            </w:r>
            <w:r>
              <w:rPr>
                <w:rFonts w:hint="eastAsia" w:ascii="Times New Roman" w:hAnsi="Times New Roman" w:eastAsia="仿宋_GB2312" w:cs="仿宋_GB2312"/>
                <w:color w:val="auto"/>
                <w:kern w:val="0"/>
                <w:sz w:val="32"/>
                <w:szCs w:val="32"/>
                <w:lang w:val="en-US" w:eastAsia="zh-CN" w:bidi="ar-SA"/>
              </w:rPr>
              <w:t>原料运输和转运扬尘</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原料在生产车间运输和转运过程会产生废气，主要污染物为颗粒物。厂区内生产车间与各堆放库之间设置全密闭式输送通廊，通过输送机运输物料，物料装卸在全密闭厂房内进行，物料在输送和装卸时进行洒水降尘</w:t>
            </w:r>
            <w:bookmarkStart w:id="2" w:name="_GoBack"/>
            <w:bookmarkEnd w:id="2"/>
            <w:r>
              <w:rPr>
                <w:rFonts w:hint="eastAsia" w:ascii="Times New Roman" w:hAnsi="Times New Roman" w:eastAsia="仿宋_GB2312" w:cs="仿宋_GB2312"/>
                <w:color w:val="auto"/>
                <w:kern w:val="0"/>
                <w:sz w:val="32"/>
                <w:szCs w:val="32"/>
                <w:lang w:val="en-US" w:eastAsia="zh-CN" w:bidi="ar-SA"/>
              </w:rPr>
              <w:t>；同时减小输送高度，并对厂区地面进行硬化，在认真落实上述措施的基础上，粉尘排放可以满足《煤炭工业污染物排放标准》（GB20426-2006）标准要求。</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3、</w:t>
            </w:r>
            <w:r>
              <w:rPr>
                <w:rFonts w:hint="eastAsia" w:ascii="Times New Roman" w:hAnsi="Times New Roman" w:eastAsia="仿宋_GB2312" w:cs="仿宋_GB2312"/>
                <w:color w:val="auto"/>
                <w:kern w:val="0"/>
                <w:sz w:val="32"/>
                <w:szCs w:val="32"/>
                <w:lang w:val="en-US" w:eastAsia="zh-CN" w:bidi="ar-SA"/>
              </w:rPr>
              <w:t>道路运输扬尘</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原料和成品运输会在厂内产生一定量的无组织扬尘，在运输过程中采取加盖苫布、洒水降尘、控制车速经过敏感地段时减速慢行的方式控制粉尘的排放；同时对厂区地面进行硬化，企业加强管理，禁止车辆超载、超速。在认真落实上述措施的基础上，粉尘排放可以满足《煤炭工业污染物排放标准》（GB20426-2006）标准要求。</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（二）水污染防治措施</w:t>
            </w:r>
          </w:p>
          <w:p>
            <w:pPr>
              <w:tabs>
                <w:tab w:val="left" w:pos="6480"/>
              </w:tabs>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运营期产生的生活污水、原煤洗选废水、煤矸石洗选废水、车间冲洗废水、洒水降尘水、压滤机清洗废水、车辆冲洗废水以及初期雨水。其中生活污水排入厂区内防渗旱厕，定期清掏，外运堆肥不外排。原煤洗选废水与煤矸石洗选废水经浓缩、压滤后，全部回用于洗煤工序，实现闭路循环，实际上水的消耗量只是产品带走的水与少量蒸发损耗的水。车间地面冲洗废水排入循环沉淀池，经浓缩机处理后回用于生产，不外排。厂区洒水降尘用水全部蒸发损耗，不外排。压滤机清洗废水排入循环沉淀池，经浓缩机处理后回用于生产，不外排。车辆冲洗废水通过排水管道排入循环沉淀池，经浓缩机处理后回用于生产，不外排。收集后的雨水导入初期雨水收集池，沉淀后用于厂区洒水抑尘，不外排。</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（三）噪声污染防治措施</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项目噪声主要来源于设备噪声，通过隔声、减振管理，厂界噪声能够满足《工业企业厂界环境噪声排放标准》中（GB12348-2008）2类标准要求。</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（四）固体废物治理</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zh-CN" w:eastAsia="zh-CN" w:bidi="ar-SA"/>
              </w:rPr>
              <w:t>项目职员生活垃圾</w:t>
            </w:r>
            <w:r>
              <w:rPr>
                <w:rFonts w:hint="eastAsia" w:ascii="Times New Roman" w:hAnsi="Times New Roman" w:eastAsia="仿宋_GB2312" w:cs="仿宋_GB2312"/>
                <w:color w:val="auto"/>
                <w:kern w:val="0"/>
                <w:sz w:val="32"/>
                <w:szCs w:val="32"/>
                <w:lang w:val="en-US" w:eastAsia="zh-CN" w:bidi="ar-SA"/>
              </w:rPr>
              <w:t>集中</w:t>
            </w:r>
            <w:r>
              <w:rPr>
                <w:rFonts w:hint="eastAsia" w:ascii="Times New Roman" w:hAnsi="Times New Roman" w:eastAsia="仿宋_GB2312" w:cs="仿宋_GB2312"/>
                <w:color w:val="auto"/>
                <w:kern w:val="0"/>
                <w:sz w:val="32"/>
                <w:szCs w:val="32"/>
                <w:lang w:val="zh-CN" w:eastAsia="zh-CN" w:bidi="ar-SA"/>
              </w:rPr>
              <w:t>收集，由市政部门统一处理；维修、养护设备产生的废矿物油桶装收集，暂存</w:t>
            </w:r>
            <w:bookmarkStart w:id="0" w:name="_Hlk194313027"/>
            <w:r>
              <w:rPr>
                <w:rFonts w:hint="eastAsia" w:ascii="Times New Roman" w:hAnsi="Times New Roman" w:eastAsia="仿宋_GB2312" w:cs="仿宋_GB2312"/>
                <w:color w:val="auto"/>
                <w:kern w:val="0"/>
                <w:sz w:val="32"/>
                <w:szCs w:val="32"/>
                <w:lang w:val="zh-CN" w:eastAsia="zh-CN" w:bidi="ar-SA"/>
              </w:rPr>
              <w:t>于</w:t>
            </w:r>
            <w:bookmarkEnd w:id="0"/>
            <w:bookmarkStart w:id="1" w:name="_Hlk194313193"/>
            <w:r>
              <w:rPr>
                <w:rFonts w:hint="eastAsia" w:ascii="Times New Roman" w:hAnsi="Times New Roman" w:eastAsia="仿宋_GB2312" w:cs="仿宋_GB2312"/>
                <w:color w:val="auto"/>
                <w:kern w:val="0"/>
                <w:sz w:val="32"/>
                <w:szCs w:val="32"/>
                <w:lang w:val="zh-CN" w:eastAsia="zh-CN" w:bidi="ar-SA"/>
              </w:rPr>
              <w:t>危险废物贮存点</w:t>
            </w:r>
            <w:bookmarkEnd w:id="1"/>
            <w:r>
              <w:rPr>
                <w:rFonts w:hint="eastAsia" w:ascii="Times New Roman" w:hAnsi="Times New Roman" w:eastAsia="仿宋_GB2312" w:cs="仿宋_GB2312"/>
                <w:color w:val="auto"/>
                <w:kern w:val="0"/>
                <w:sz w:val="32"/>
                <w:szCs w:val="32"/>
                <w:lang w:val="zh-CN" w:eastAsia="zh-CN" w:bidi="ar-SA"/>
              </w:rPr>
              <w:t>，委托有资质单位处置；维修、养护设备产生的废弃含油抹布及劳保用品，暂存于危险废物贮存点，委托有资质单位处置；沉淀池、雨水收集池沉渣回收晾干，集中收集后外售综合利用。</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lang w:val="zh-CN" w:eastAsia="zh-CN"/>
              </w:rPr>
              <w:t>地下水污染防治措施</w:t>
            </w:r>
          </w:p>
          <w:p>
            <w:pPr>
              <w:adjustRightInd w:val="0"/>
              <w:snapToGrid w:val="0"/>
              <w:spacing w:line="360" w:lineRule="auto"/>
              <w:ind w:firstLine="640" w:firstLineChars="200"/>
              <w:rPr>
                <w:rFonts w:hint="default"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项目采取源头控制、分区防控、污染监控、应急响应等污染防控对策。地下水污染防渗分区包括重点防渗区、一般防渗区、简单防渗区。</w:t>
            </w:r>
          </w:p>
          <w:p>
            <w:pPr>
              <w:adjustRightInd w:val="0"/>
              <w:snapToGrid w:val="0"/>
              <w:spacing w:line="360" w:lineRule="auto"/>
              <w:ind w:firstLine="640" w:firstLineChars="200"/>
              <w:rPr>
                <w:rFonts w:hint="default"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1、</w:t>
            </w:r>
            <w:r>
              <w:rPr>
                <w:rFonts w:hint="default" w:ascii="Times New Roman" w:hAnsi="Times New Roman" w:eastAsia="仿宋_GB2312" w:cs="仿宋_GB2312"/>
                <w:color w:val="auto"/>
                <w:kern w:val="0"/>
                <w:sz w:val="32"/>
                <w:szCs w:val="32"/>
                <w:lang w:val="en-US" w:eastAsia="zh-CN" w:bidi="ar-SA"/>
              </w:rPr>
              <w:t>重点防渗区</w:t>
            </w:r>
          </w:p>
          <w:p>
            <w:pPr>
              <w:adjustRightInd w:val="0"/>
              <w:snapToGrid w:val="0"/>
              <w:spacing w:line="360" w:lineRule="auto"/>
              <w:ind w:firstLine="640" w:firstLineChars="200"/>
              <w:rPr>
                <w:rFonts w:hint="default"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循环沉淀池、初期雨水收集池、煤泥暂存池、浓缩机和事故浓缩机所在位置车间地面采取重点防渗措施。采取等效粘土防渗层Mb&gt;6.0m，K&gt;1×10</w:t>
            </w:r>
            <w:r>
              <w:rPr>
                <w:rFonts w:hint="default" w:ascii="Times New Roman" w:hAnsi="Times New Roman" w:eastAsia="仿宋_GB2312" w:cs="仿宋_GB2312"/>
                <w:color w:val="auto"/>
                <w:kern w:val="0"/>
                <w:sz w:val="32"/>
                <w:szCs w:val="32"/>
                <w:vertAlign w:val="superscript"/>
                <w:lang w:val="en-US" w:eastAsia="zh-CN" w:bidi="ar-SA"/>
              </w:rPr>
              <w:t>-7</w:t>
            </w:r>
            <w:r>
              <w:rPr>
                <w:rFonts w:hint="default" w:ascii="Times New Roman" w:hAnsi="Times New Roman" w:eastAsia="仿宋_GB2312" w:cs="仿宋_GB2312"/>
                <w:color w:val="auto"/>
                <w:kern w:val="0"/>
                <w:sz w:val="32"/>
                <w:szCs w:val="32"/>
                <w:lang w:val="en-US" w:eastAsia="zh-CN" w:bidi="ar-SA"/>
              </w:rPr>
              <w:t>cm/s或2mm厚高密度聚乙烯，或至少2mm厚的其他人工材料，K≤1×10</w:t>
            </w:r>
            <w:r>
              <w:rPr>
                <w:rFonts w:hint="default" w:ascii="Times New Roman" w:hAnsi="Times New Roman" w:eastAsia="仿宋_GB2312" w:cs="仿宋_GB2312"/>
                <w:color w:val="auto"/>
                <w:kern w:val="0"/>
                <w:sz w:val="32"/>
                <w:szCs w:val="32"/>
                <w:vertAlign w:val="superscript"/>
                <w:lang w:val="en-US" w:eastAsia="zh-CN" w:bidi="ar-SA"/>
              </w:rPr>
              <w:t>-10</w:t>
            </w:r>
            <w:r>
              <w:rPr>
                <w:rFonts w:hint="default" w:ascii="Times New Roman" w:hAnsi="Times New Roman" w:eastAsia="仿宋_GB2312" w:cs="仿宋_GB2312"/>
                <w:color w:val="auto"/>
                <w:kern w:val="0"/>
                <w:sz w:val="32"/>
                <w:szCs w:val="32"/>
                <w:lang w:val="en-US" w:eastAsia="zh-CN" w:bidi="ar-SA"/>
              </w:rPr>
              <w:t>cm/s，液态危废采用专用容器收集，下设金属托盘，并设置备用收集空桶，危险废物贮存点四周设置防泄漏围堰（高度不低于15cm）。符合《环境影响评价技术导则地下水环境》（HJ610-2016）重点防渗区要求。</w:t>
            </w:r>
          </w:p>
          <w:p>
            <w:pPr>
              <w:adjustRightInd w:val="0"/>
              <w:snapToGrid w:val="0"/>
              <w:spacing w:line="360" w:lineRule="auto"/>
              <w:ind w:firstLine="640" w:firstLineChars="200"/>
              <w:rPr>
                <w:rFonts w:hint="default"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2、</w:t>
            </w:r>
            <w:r>
              <w:rPr>
                <w:rFonts w:hint="default" w:ascii="Times New Roman" w:hAnsi="Times New Roman" w:eastAsia="仿宋_GB2312" w:cs="仿宋_GB2312"/>
                <w:color w:val="auto"/>
                <w:kern w:val="0"/>
                <w:sz w:val="32"/>
                <w:szCs w:val="32"/>
                <w:lang w:val="en-US" w:eastAsia="zh-CN" w:bidi="ar-SA"/>
              </w:rPr>
              <w:t>一般防渗区</w:t>
            </w:r>
          </w:p>
          <w:p>
            <w:pPr>
              <w:adjustRightInd w:val="0"/>
              <w:snapToGrid w:val="0"/>
              <w:spacing w:line="360" w:lineRule="auto"/>
              <w:ind w:firstLine="640" w:firstLineChars="200"/>
              <w:rPr>
                <w:rFonts w:hint="default"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原煤堆放库、中煤堆放库、矸石堆放库、生产车间地面采取一般防渗措施。采取底层粘土夯实，混凝土面层，防渗层Mb&gt;1.5m，K&lt;1×10</w:t>
            </w:r>
            <w:r>
              <w:rPr>
                <w:rFonts w:hint="default" w:ascii="Times New Roman" w:hAnsi="Times New Roman" w:eastAsia="仿宋_GB2312" w:cs="仿宋_GB2312"/>
                <w:color w:val="auto"/>
                <w:kern w:val="0"/>
                <w:sz w:val="32"/>
                <w:szCs w:val="32"/>
                <w:vertAlign w:val="superscript"/>
                <w:lang w:val="en-US" w:eastAsia="zh-CN" w:bidi="ar-SA"/>
              </w:rPr>
              <w:t>-7</w:t>
            </w:r>
            <w:r>
              <w:rPr>
                <w:rFonts w:hint="default" w:ascii="Times New Roman" w:hAnsi="Times New Roman" w:eastAsia="仿宋_GB2312" w:cs="仿宋_GB2312"/>
                <w:color w:val="auto"/>
                <w:kern w:val="0"/>
                <w:sz w:val="32"/>
                <w:szCs w:val="32"/>
                <w:lang w:val="en-US" w:eastAsia="zh-CN" w:bidi="ar-SA"/>
              </w:rPr>
              <w:t>cm/s，符合《环境影响评价技术导则地下水环境》（HJ610-2016）一般防渗区要求。</w:t>
            </w:r>
          </w:p>
          <w:p>
            <w:pPr>
              <w:adjustRightInd w:val="0"/>
              <w:snapToGrid w:val="0"/>
              <w:spacing w:line="360" w:lineRule="auto"/>
              <w:ind w:firstLine="640" w:firstLineChars="200"/>
              <w:rPr>
                <w:rFonts w:hint="default" w:ascii="Times New Roman" w:hAnsi="Times New Roman" w:eastAsia="仿宋_GB2312" w:cs="仿宋_GB2312"/>
                <w:color w:val="auto"/>
                <w:kern w:val="0"/>
                <w:sz w:val="32"/>
                <w:szCs w:val="32"/>
                <w:lang w:val="en-US" w:eastAsia="zh-CN" w:bidi="ar-SA"/>
              </w:rPr>
            </w:pPr>
            <w:r>
              <w:rPr>
                <w:rFonts w:hint="eastAsia" w:eastAsia="仿宋_GB2312" w:cs="仿宋_GB2312"/>
                <w:color w:val="auto"/>
                <w:kern w:val="0"/>
                <w:sz w:val="32"/>
                <w:szCs w:val="32"/>
                <w:lang w:val="en-US" w:eastAsia="zh-CN" w:bidi="ar-SA"/>
              </w:rPr>
              <w:t>3、</w:t>
            </w:r>
            <w:r>
              <w:rPr>
                <w:rFonts w:hint="default" w:ascii="Times New Roman" w:hAnsi="Times New Roman" w:eastAsia="仿宋_GB2312" w:cs="仿宋_GB2312"/>
                <w:color w:val="auto"/>
                <w:kern w:val="0"/>
                <w:sz w:val="32"/>
                <w:szCs w:val="32"/>
                <w:lang w:val="en-US" w:eastAsia="zh-CN" w:bidi="ar-SA"/>
              </w:rPr>
              <w:t>简单防渗区</w:t>
            </w:r>
          </w:p>
          <w:p>
            <w:pPr>
              <w:adjustRightInd w:val="0"/>
              <w:snapToGrid w:val="0"/>
              <w:spacing w:line="360" w:lineRule="auto"/>
              <w:ind w:firstLine="640" w:firstLineChars="200"/>
              <w:rPr>
                <w:rFonts w:hint="default"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厂区内综合用房采取简单防渗措施，防渗层为水泥地面硬化，符合《环境影响评价技术导则 地下水环境》（HJ 610-2016）简单防渗区要求。</w:t>
            </w:r>
          </w:p>
          <w:p>
            <w:pPr>
              <w:tabs>
                <w:tab w:val="left" w:pos="6480"/>
              </w:tabs>
              <w:adjustRightInd w:val="0"/>
              <w:snapToGrid w:val="0"/>
              <w:spacing w:line="360" w:lineRule="auto"/>
              <w:ind w:firstLine="642" w:firstLineChars="200"/>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en-US" w:eastAsia="zh-CN"/>
              </w:rPr>
              <w:t>（六）</w:t>
            </w:r>
            <w:r>
              <w:rPr>
                <w:rFonts w:hint="eastAsia" w:ascii="楷体" w:hAnsi="楷体" w:eastAsia="楷体" w:cs="楷体"/>
                <w:b/>
                <w:bCs/>
                <w:color w:val="auto"/>
                <w:sz w:val="32"/>
                <w:szCs w:val="32"/>
                <w:lang w:val="zh-CN" w:eastAsia="zh-CN"/>
              </w:rPr>
              <w:t>土壤污染防治措施</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en-US" w:eastAsia="zh-CN" w:bidi="ar-SA"/>
              </w:rPr>
              <w:t>1、</w:t>
            </w:r>
            <w:r>
              <w:rPr>
                <w:rFonts w:hint="eastAsia" w:ascii="Times New Roman" w:hAnsi="Times New Roman" w:eastAsia="仿宋_GB2312" w:cs="仿宋_GB2312"/>
                <w:color w:val="auto"/>
                <w:kern w:val="0"/>
                <w:sz w:val="32"/>
                <w:szCs w:val="32"/>
                <w:lang w:val="zh-CN" w:eastAsia="zh-CN" w:bidi="ar-SA"/>
              </w:rPr>
              <w:t>控制本项目“三废”的排放。大力推广闭路循环、清洁工艺，以减少污染物质；控制污染物排放的数量和浓度，使之符合排放标准和总量要求。</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en-US" w:eastAsia="zh-CN" w:bidi="ar-SA"/>
              </w:rPr>
              <w:t>2、</w:t>
            </w:r>
            <w:r>
              <w:rPr>
                <w:rFonts w:hint="eastAsia" w:ascii="Times New Roman" w:hAnsi="Times New Roman" w:eastAsia="仿宋_GB2312" w:cs="仿宋_GB2312"/>
                <w:color w:val="auto"/>
                <w:kern w:val="0"/>
                <w:sz w:val="32"/>
                <w:szCs w:val="32"/>
                <w:lang w:val="zh-CN" w:eastAsia="zh-CN" w:bidi="ar-SA"/>
              </w:rPr>
              <w:t>为了防止项目对当地的土壤产生不利影响，建设单位采取防渗措施，具体如下：项目厂区采取“分区防渗”的原则，循环沉淀池、初期雨水收集池、煤泥暂存池、浓缩机和事故浓缩机所在位置车间地面为重点防渗区，原煤堆放库、中煤堆放库、矸石堆放库、车间地面为一般防渗区，综合用房为简单防渗区，进行一般地面硬化。</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en-US" w:eastAsia="zh-CN" w:bidi="ar-SA"/>
              </w:rPr>
              <w:t>3、</w:t>
            </w:r>
            <w:r>
              <w:rPr>
                <w:rFonts w:hint="eastAsia" w:ascii="Times New Roman" w:hAnsi="Times New Roman" w:eastAsia="仿宋_GB2312" w:cs="仿宋_GB2312"/>
                <w:color w:val="auto"/>
                <w:kern w:val="0"/>
                <w:sz w:val="32"/>
                <w:szCs w:val="32"/>
                <w:lang w:val="zh-CN" w:eastAsia="zh-CN" w:bidi="ar-SA"/>
              </w:rPr>
              <w:t>加强占地周围的绿化，种植具有较强吸附能力的植物为主。</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en-US" w:eastAsia="zh-CN" w:bidi="ar-SA"/>
              </w:rPr>
              <w:t>4、</w:t>
            </w:r>
            <w:r>
              <w:rPr>
                <w:rFonts w:hint="eastAsia" w:ascii="Times New Roman" w:hAnsi="Times New Roman" w:eastAsia="仿宋_GB2312" w:cs="仿宋_GB2312"/>
                <w:color w:val="auto"/>
                <w:kern w:val="0"/>
                <w:sz w:val="32"/>
                <w:szCs w:val="32"/>
                <w:lang w:val="zh-CN" w:eastAsia="zh-CN" w:bidi="ar-SA"/>
              </w:rPr>
              <w:t>为进一步减少企业生产过程中对区域土壤环境的影响，提出以下建议：</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zh-CN" w:eastAsia="zh-CN" w:bidi="ar-SA"/>
              </w:rPr>
              <w:t>（</w:t>
            </w:r>
            <w:r>
              <w:rPr>
                <w:rFonts w:hint="eastAsia" w:ascii="Times New Roman" w:hAnsi="Times New Roman" w:eastAsia="仿宋_GB2312" w:cs="仿宋_GB2312"/>
                <w:color w:val="auto"/>
                <w:kern w:val="0"/>
                <w:sz w:val="32"/>
                <w:szCs w:val="32"/>
                <w:lang w:val="en-US" w:eastAsia="zh-CN" w:bidi="ar-SA"/>
              </w:rPr>
              <w:t>1</w:t>
            </w:r>
            <w:r>
              <w:rPr>
                <w:rFonts w:hint="eastAsia" w:ascii="Times New Roman" w:hAnsi="Times New Roman" w:eastAsia="仿宋_GB2312" w:cs="仿宋_GB2312"/>
                <w:color w:val="auto"/>
                <w:kern w:val="0"/>
                <w:sz w:val="32"/>
                <w:szCs w:val="32"/>
                <w:lang w:val="zh-CN" w:eastAsia="zh-CN" w:bidi="ar-SA"/>
              </w:rPr>
              <w:t>）健全环境管理制度</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zh-CN" w:eastAsia="zh-CN" w:bidi="ar-SA"/>
              </w:rPr>
              <w:t>加强污染防治工作，保证设施正常运转，同时强化风险防范意识。如遇到环保设施不能正常运转，企业应立即停产检修。</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zh-CN" w:eastAsia="zh-CN" w:bidi="ar-SA"/>
              </w:rPr>
              <w:t>（</w:t>
            </w:r>
            <w:r>
              <w:rPr>
                <w:rFonts w:hint="eastAsia" w:ascii="Times New Roman" w:hAnsi="Times New Roman" w:eastAsia="仿宋_GB2312" w:cs="仿宋_GB2312"/>
                <w:color w:val="auto"/>
                <w:kern w:val="0"/>
                <w:sz w:val="32"/>
                <w:szCs w:val="32"/>
                <w:lang w:val="en-US" w:eastAsia="zh-CN" w:bidi="ar-SA"/>
              </w:rPr>
              <w:t>2</w:t>
            </w:r>
            <w:r>
              <w:rPr>
                <w:rFonts w:hint="eastAsia" w:ascii="Times New Roman" w:hAnsi="Times New Roman" w:eastAsia="仿宋_GB2312" w:cs="仿宋_GB2312"/>
                <w:color w:val="auto"/>
                <w:kern w:val="0"/>
                <w:sz w:val="32"/>
                <w:szCs w:val="32"/>
                <w:lang w:val="zh-CN" w:eastAsia="zh-CN" w:bidi="ar-SA"/>
              </w:rPr>
              <w:t>）定期进行环境监测</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zh-CN" w:eastAsia="zh-CN" w:bidi="ar-SA"/>
              </w:rPr>
              <w:t>建设单位</w:t>
            </w:r>
            <w:r>
              <w:rPr>
                <w:rFonts w:hint="eastAsia" w:ascii="Times New Roman" w:hAnsi="Times New Roman" w:eastAsia="仿宋_GB2312" w:cs="仿宋_GB2312"/>
                <w:color w:val="auto"/>
                <w:kern w:val="0"/>
                <w:sz w:val="32"/>
                <w:szCs w:val="32"/>
                <w:highlight w:val="none"/>
                <w:lang w:val="zh-CN" w:eastAsia="zh-CN" w:bidi="ar-SA"/>
              </w:rPr>
              <w:t>应</w:t>
            </w:r>
            <w:r>
              <w:rPr>
                <w:rFonts w:hint="eastAsia" w:ascii="Times New Roman" w:hAnsi="Times New Roman" w:eastAsia="仿宋_GB2312" w:cs="仿宋_GB2312"/>
                <w:color w:val="auto"/>
                <w:kern w:val="0"/>
                <w:sz w:val="32"/>
                <w:szCs w:val="32"/>
                <w:lang w:val="zh-CN" w:eastAsia="zh-CN" w:bidi="ar-SA"/>
              </w:rPr>
              <w:t>定期对周边环境敏感区域中的土壤进行特征污染物的监测，掌握区域污染变化趋势。加强厂区及周围的绿化，合理配置指示性植物</w:t>
            </w:r>
            <w:r>
              <w:rPr>
                <w:rFonts w:hint="default" w:ascii="Times New Roman" w:hAnsi="Times New Roman" w:eastAsia="仿宋_GB2312" w:cs="仿宋_GB2312"/>
                <w:color w:val="auto"/>
                <w:kern w:val="0"/>
                <w:sz w:val="32"/>
                <w:szCs w:val="32"/>
                <w:lang w:val="en-US" w:eastAsia="zh-CN" w:bidi="ar-SA"/>
              </w:rPr>
              <w:t>。</w:t>
            </w:r>
          </w:p>
          <w:p>
            <w:pPr>
              <w:autoSpaceDN w:val="0"/>
              <w:adjustRightInd w:val="0"/>
              <w:snapToGrid w:val="0"/>
              <w:spacing w:line="360" w:lineRule="auto"/>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三、环境风险防范措施</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zh-CN" w:eastAsia="zh-CN" w:bidi="ar-SA"/>
              </w:rPr>
              <w:t>结合项目选煤规模及特点和环境状况，项目风险因素主要包括原煤堆自燃事故、废水处理设施泄漏事故、废矿物油泄露事故、煤尘爆炸事故。</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zh-CN" w:eastAsia="zh-CN" w:bidi="ar-SA"/>
              </w:rPr>
              <w:t>（1）原煤堆放库自燃：在堆放过程中，采取夯实、碾压及稳定堆置等措施，要做好巡查工作，以保证正常、安全、有序的生产。</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zh-CN" w:eastAsia="zh-CN" w:bidi="ar-SA"/>
              </w:rPr>
              <w:t>（2）废水处理设施泄漏事故：设置防渗事故水池，做好检查工作，以保证正常、安全、有序的生产。</w:t>
            </w:r>
          </w:p>
          <w:p>
            <w:pPr>
              <w:adjustRightInd w:val="0"/>
              <w:snapToGrid w:val="0"/>
              <w:spacing w:line="360" w:lineRule="auto"/>
              <w:ind w:firstLine="640" w:firstLineChars="200"/>
              <w:rPr>
                <w:rFonts w:hint="eastAsia" w:ascii="Times New Roman" w:hAnsi="Times New Roman" w:eastAsia="仿宋_GB2312" w:cs="仿宋_GB2312"/>
                <w:color w:val="auto"/>
                <w:kern w:val="0"/>
                <w:sz w:val="32"/>
                <w:szCs w:val="32"/>
                <w:lang w:val="zh-CN" w:eastAsia="zh-CN" w:bidi="ar-SA"/>
              </w:rPr>
            </w:pPr>
            <w:r>
              <w:rPr>
                <w:rFonts w:hint="eastAsia" w:ascii="Times New Roman" w:hAnsi="Times New Roman" w:eastAsia="仿宋_GB2312" w:cs="仿宋_GB2312"/>
                <w:color w:val="auto"/>
                <w:kern w:val="0"/>
                <w:sz w:val="32"/>
                <w:szCs w:val="32"/>
                <w:lang w:val="zh-CN" w:eastAsia="zh-CN" w:bidi="ar-SA"/>
              </w:rPr>
              <w:t>（3）废矿物油泄露事故：应安排专人定期检查油桶包装情况，采用堆码试验、跌落试验、气密试验和气压试验等检验标准进行定期检验，危废贮存点专人管理，建立物料台账。危废贮存点按照重点防渗要求防渗。运输包装件严格按规定印制提醒符号，标明危险品类别、名称及尺寸、颜色。运输时合理规划路线，需尽量避开环境敏感点，运输车辆应配备应急响应消防器材，告诉运输人员有关运输物质的性质和事故应急处理方法，确保在事故发生情况下能事故应急，减缓影响。</w:t>
            </w:r>
          </w:p>
          <w:p>
            <w:pPr>
              <w:adjustRightInd w:val="0"/>
              <w:snapToGrid w:val="0"/>
              <w:spacing w:line="360" w:lineRule="auto"/>
              <w:ind w:firstLine="640" w:firstLineChars="200"/>
              <w:rPr>
                <w:rFonts w:eastAsia="仿宋"/>
                <w:color w:val="000000" w:themeColor="text1"/>
                <w:sz w:val="28"/>
                <w:szCs w:val="28"/>
                <w14:textFill>
                  <w14:solidFill>
                    <w14:schemeClr w14:val="tx1"/>
                  </w14:solidFill>
                </w14:textFill>
              </w:rPr>
            </w:pPr>
            <w:r>
              <w:rPr>
                <w:rFonts w:hint="eastAsia" w:ascii="Times New Roman" w:hAnsi="Times New Roman" w:eastAsia="仿宋_GB2312" w:cs="仿宋_GB2312"/>
                <w:color w:val="auto"/>
                <w:kern w:val="0"/>
                <w:sz w:val="32"/>
                <w:szCs w:val="32"/>
                <w:lang w:val="zh-CN" w:eastAsia="zh-CN" w:bidi="ar-SA"/>
              </w:rPr>
              <w:t>（4）煤尘爆炸事故：要加强对厂内除尘通风设备的维护，使之保持完好状态。相关负责巡查人员在日常安全监察中重点加强对各主要产尘点的监察。并定期进行专项检查，对发现的问题督促整改。厂区内严禁吸烟，电气焊作业时必须预先采取清扫、洒水等降尘、除尘措施。作业场所定期清扫、冲洗制度。要求所有作业场所随时保持清洁，防止积尘。</w:t>
            </w:r>
          </w:p>
        </w:tc>
      </w:tr>
      <w:tr>
        <w:tblPrEx>
          <w:tblCellMar>
            <w:top w:w="0" w:type="dxa"/>
            <w:left w:w="0" w:type="dxa"/>
            <w:bottom w:w="0" w:type="dxa"/>
            <w:right w:w="0" w:type="dxa"/>
          </w:tblCellMar>
        </w:tblPrEx>
        <w:trPr>
          <w:trHeight w:val="1223"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公众参与情况</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无需开展</w:t>
            </w:r>
          </w:p>
        </w:tc>
      </w:tr>
      <w:tr>
        <w:tblPrEx>
          <w:tblCellMar>
            <w:top w:w="0" w:type="dxa"/>
            <w:left w:w="0" w:type="dxa"/>
            <w:bottom w:w="0" w:type="dxa"/>
            <w:right w:w="0" w:type="dxa"/>
          </w:tblCellMar>
        </w:tblPrEx>
        <w:trPr>
          <w:trHeight w:val="4422" w:hRule="atLeast"/>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建设单位或地方政府所作出的相应环境保护措施承诺文件</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p>
        </w:tc>
      </w:tr>
      <w:tr>
        <w:tblPrEx>
          <w:tblCellMar>
            <w:top w:w="0" w:type="dxa"/>
            <w:left w:w="0" w:type="dxa"/>
            <w:bottom w:w="0" w:type="dxa"/>
            <w:right w:w="0" w:type="dxa"/>
          </w:tblCellMar>
        </w:tblPrEx>
        <w:trPr>
          <w:tblCellSpacing w:w="15" w:type="dxa"/>
        </w:trPr>
        <w:tc>
          <w:tcPr>
            <w:tcW w:w="1775" w:type="dxa"/>
            <w:tcBorders>
              <w:top w:val="nil"/>
              <w:left w:val="single" w:color="000000" w:sz="4" w:space="0"/>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拟批复</w:t>
            </w:r>
          </w:p>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意见</w:t>
            </w:r>
          </w:p>
        </w:tc>
        <w:tc>
          <w:tcPr>
            <w:tcW w:w="7688" w:type="dxa"/>
            <w:tcBorders>
              <w:top w:val="nil"/>
              <w:left w:val="nil"/>
              <w:bottom w:val="single" w:color="000000" w:sz="4" w:space="0"/>
              <w:right w:val="single" w:color="000000" w:sz="4" w:space="0"/>
            </w:tcBorders>
            <w:tcMar>
              <w:left w:w="70" w:type="dxa"/>
              <w:right w:w="70" w:type="dxa"/>
            </w:tcMar>
            <w:vAlign w:val="center"/>
          </w:tcPr>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同意</w:t>
            </w:r>
          </w:p>
        </w:tc>
      </w:tr>
    </w:tbl>
    <w:p>
      <w:pPr>
        <w:keepNext w:val="0"/>
        <w:keepLines w:val="0"/>
        <w:pageBreakBefore w:val="0"/>
        <w:widowControl w:val="0"/>
        <w:tabs>
          <w:tab w:val="left" w:pos="6480"/>
        </w:tabs>
        <w:kinsoku/>
        <w:wordWrap/>
        <w:overflowPunct/>
        <w:topLinePunct w:val="0"/>
        <w:autoSpaceDE/>
        <w:autoSpaceDN/>
        <w:bidi w:val="0"/>
        <w:adjustRightInd w:val="0"/>
        <w:snapToGrid w:val="0"/>
        <w:spacing w:line="360" w:lineRule="auto"/>
        <w:ind w:right="630" w:rightChars="300" w:firstLine="0" w:firstLineChars="0"/>
        <w:jc w:val="both"/>
        <w:textAlignment w:val="auto"/>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Arial Black">
    <w:altName w:val="Nimbus Roman No9 L"/>
    <w:panose1 w:val="020B0A04020102020204"/>
    <w:charset w:val="00"/>
    <w:family w:val="swiss"/>
    <w:pitch w:val="default"/>
    <w:sig w:usb0="00000000"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zdhNDY4ZTA4YTIxNDg5ZTY4ZTZkZGYxMGE5MmIifQ=="/>
  </w:docVars>
  <w:rsids>
    <w:rsidRoot w:val="37171A61"/>
    <w:rsid w:val="000275A3"/>
    <w:rsid w:val="00042EBB"/>
    <w:rsid w:val="001310FA"/>
    <w:rsid w:val="00174636"/>
    <w:rsid w:val="001C5F11"/>
    <w:rsid w:val="003520E2"/>
    <w:rsid w:val="00382580"/>
    <w:rsid w:val="004B271E"/>
    <w:rsid w:val="004D02E4"/>
    <w:rsid w:val="004E370E"/>
    <w:rsid w:val="00571BDE"/>
    <w:rsid w:val="00664654"/>
    <w:rsid w:val="00797EA6"/>
    <w:rsid w:val="00804923"/>
    <w:rsid w:val="00841278"/>
    <w:rsid w:val="00843266"/>
    <w:rsid w:val="009A1668"/>
    <w:rsid w:val="00AD183B"/>
    <w:rsid w:val="00B06034"/>
    <w:rsid w:val="00BA629C"/>
    <w:rsid w:val="00D743AD"/>
    <w:rsid w:val="00D82108"/>
    <w:rsid w:val="030A0A72"/>
    <w:rsid w:val="041C5514"/>
    <w:rsid w:val="049C7DEF"/>
    <w:rsid w:val="06DB3CE0"/>
    <w:rsid w:val="0B58189F"/>
    <w:rsid w:val="0FD318D6"/>
    <w:rsid w:val="149017BE"/>
    <w:rsid w:val="15AA1C40"/>
    <w:rsid w:val="16810AFC"/>
    <w:rsid w:val="17AC6144"/>
    <w:rsid w:val="193006AE"/>
    <w:rsid w:val="1A2E4822"/>
    <w:rsid w:val="1A6A36E7"/>
    <w:rsid w:val="1CB9558B"/>
    <w:rsid w:val="20F61668"/>
    <w:rsid w:val="21C961A7"/>
    <w:rsid w:val="21EA3B0F"/>
    <w:rsid w:val="23C40371"/>
    <w:rsid w:val="24D34D10"/>
    <w:rsid w:val="26926505"/>
    <w:rsid w:val="28F31BA1"/>
    <w:rsid w:val="2B4F6B69"/>
    <w:rsid w:val="2B8B12B1"/>
    <w:rsid w:val="2EED5A1B"/>
    <w:rsid w:val="2EF75A9F"/>
    <w:rsid w:val="30930421"/>
    <w:rsid w:val="362E76CC"/>
    <w:rsid w:val="37171A61"/>
    <w:rsid w:val="372E4027"/>
    <w:rsid w:val="381274A5"/>
    <w:rsid w:val="38A21F1B"/>
    <w:rsid w:val="3C5630A1"/>
    <w:rsid w:val="3E5B01E6"/>
    <w:rsid w:val="40E63C12"/>
    <w:rsid w:val="40F215D8"/>
    <w:rsid w:val="412B2BA1"/>
    <w:rsid w:val="415428DD"/>
    <w:rsid w:val="41782A6F"/>
    <w:rsid w:val="47743CD8"/>
    <w:rsid w:val="491570B1"/>
    <w:rsid w:val="4EEF44CD"/>
    <w:rsid w:val="543F1973"/>
    <w:rsid w:val="55BB38E7"/>
    <w:rsid w:val="57345FA6"/>
    <w:rsid w:val="57C24474"/>
    <w:rsid w:val="58B7229A"/>
    <w:rsid w:val="58DD4C54"/>
    <w:rsid w:val="594976BD"/>
    <w:rsid w:val="5AFF185E"/>
    <w:rsid w:val="5D091080"/>
    <w:rsid w:val="5F096A11"/>
    <w:rsid w:val="5FEA4540"/>
    <w:rsid w:val="636B3624"/>
    <w:rsid w:val="664B39FF"/>
    <w:rsid w:val="67B13D35"/>
    <w:rsid w:val="6B4948EF"/>
    <w:rsid w:val="6C1F27DA"/>
    <w:rsid w:val="6DD8026E"/>
    <w:rsid w:val="6E6733A0"/>
    <w:rsid w:val="71A32824"/>
    <w:rsid w:val="71FB452B"/>
    <w:rsid w:val="790F182A"/>
    <w:rsid w:val="7C691B8C"/>
    <w:rsid w:val="7FE7E0E3"/>
    <w:rsid w:val="FDBFB3F4"/>
    <w:rsid w:val="FFDF83B4"/>
    <w:rsid w:val="FFFD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4"/>
    <w:basedOn w:val="1"/>
    <w:next w:val="1"/>
    <w:autoRedefine/>
    <w:qFormat/>
    <w:uiPriority w:val="0"/>
    <w:pPr>
      <w:keepNext/>
      <w:keepLines/>
      <w:snapToGrid w:val="0"/>
      <w:spacing w:line="360" w:lineRule="auto"/>
      <w:jc w:val="left"/>
      <w:outlineLvl w:val="3"/>
    </w:pPr>
    <w:rPr>
      <w:rFonts w:ascii="Arial" w:hAnsi="Arial"/>
      <w:bCs/>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spacing w:after="120"/>
      <w:ind w:firstLine="420" w:firstLineChars="100"/>
    </w:pPr>
  </w:style>
  <w:style w:type="paragraph" w:styleId="3">
    <w:name w:val="Body Text"/>
    <w:basedOn w:val="1"/>
    <w:next w:val="4"/>
    <w:autoRedefine/>
    <w:qFormat/>
    <w:uiPriority w:val="0"/>
    <w:pPr>
      <w:widowControl/>
      <w:snapToGrid w:val="0"/>
      <w:spacing w:before="60" w:after="160" w:line="259" w:lineRule="auto"/>
      <w:ind w:right="113"/>
    </w:pPr>
    <w:rPr>
      <w:kern w:val="0"/>
      <w:sz w:val="18"/>
      <w:szCs w:val="20"/>
    </w:rPr>
  </w:style>
  <w:style w:type="paragraph" w:customStyle="1" w:styleId="4">
    <w:name w:val="Normal (Web)1"/>
    <w:basedOn w:val="1"/>
    <w:next w:val="5"/>
    <w:autoRedefine/>
    <w:qFormat/>
    <w:uiPriority w:val="0"/>
    <w:pPr>
      <w:widowControl/>
      <w:jc w:val="left"/>
    </w:pPr>
    <w:rPr>
      <w:rFonts w:ascii="宋体"/>
      <w:kern w:val="0"/>
      <w:sz w:val="24"/>
      <w:szCs w:val="21"/>
    </w:rPr>
  </w:style>
  <w:style w:type="paragraph" w:customStyle="1" w:styleId="5">
    <w:name w:val="Date1"/>
    <w:basedOn w:val="1"/>
    <w:next w:val="1"/>
    <w:qFormat/>
    <w:uiPriority w:val="0"/>
    <w:pPr>
      <w:ind w:left="2500" w:leftChars="2500"/>
    </w:pPr>
  </w:style>
  <w:style w:type="paragraph" w:styleId="7">
    <w:name w:val="table of authorities"/>
    <w:basedOn w:val="1"/>
    <w:next w:val="1"/>
    <w:autoRedefine/>
    <w:qFormat/>
    <w:uiPriority w:val="0"/>
    <w:pPr>
      <w:spacing w:line="360" w:lineRule="auto"/>
      <w:ind w:left="420" w:leftChars="200" w:firstLine="640" w:firstLineChars="200"/>
    </w:pPr>
    <w:rPr>
      <w:sz w:val="24"/>
      <w:szCs w:val="24"/>
    </w:rPr>
  </w:style>
  <w:style w:type="paragraph" w:styleId="8">
    <w:name w:val="Body Text Indent 2"/>
    <w:basedOn w:val="1"/>
    <w:next w:val="1"/>
    <w:qFormat/>
    <w:uiPriority w:val="0"/>
    <w:pPr>
      <w:spacing w:after="120" w:line="480" w:lineRule="auto"/>
      <w:ind w:left="420" w:leftChars="200"/>
    </w:pPr>
  </w:style>
  <w:style w:type="paragraph" w:styleId="9">
    <w:name w:val="Balloon Text"/>
    <w:basedOn w:val="1"/>
    <w:autoRedefine/>
    <w:qFormat/>
    <w:uiPriority w:val="99"/>
    <w:rPr>
      <w:rFonts w:ascii="Calibri" w:hAnsi="Calibri"/>
      <w:color w:val="000000"/>
      <w:sz w:val="18"/>
      <w:szCs w:val="1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szCs w:val="24"/>
    </w:rPr>
  </w:style>
  <w:style w:type="paragraph" w:styleId="13">
    <w:name w:val="toc 2"/>
    <w:basedOn w:val="1"/>
    <w:next w:val="1"/>
    <w:autoRedefine/>
    <w:unhideWhenUsed/>
    <w:qFormat/>
    <w:uiPriority w:val="39"/>
    <w:pPr>
      <w:widowControl/>
      <w:spacing w:after="100" w:line="276" w:lineRule="auto"/>
      <w:ind w:left="220"/>
      <w:jc w:val="left"/>
    </w:pPr>
    <w:rPr>
      <w:rFonts w:ascii="Calibri" w:hAnsi="Calibri"/>
      <w:kern w:val="0"/>
      <w:sz w:val="22"/>
    </w:rPr>
  </w:style>
  <w:style w:type="paragraph" w:styleId="14">
    <w:name w:val="Normal (Web)"/>
    <w:basedOn w:val="1"/>
    <w:autoRedefine/>
    <w:qFormat/>
    <w:uiPriority w:val="0"/>
    <w:pPr>
      <w:widowControl/>
      <w:spacing w:before="100" w:after="100" w:line="15" w:lineRule="atLeast"/>
      <w:jc w:val="center"/>
    </w:pPr>
    <w:rPr>
      <w:rFonts w:ascii="仿宋" w:hAnsi="仿宋" w:eastAsia="仿宋" w:cs="仿宋"/>
      <w:sz w:val="32"/>
      <w:szCs w:val="32"/>
    </w:rPr>
  </w:style>
  <w:style w:type="paragraph" w:styleId="15">
    <w:name w:val="Title"/>
    <w:basedOn w:val="1"/>
    <w:next w:val="1"/>
    <w:autoRedefine/>
    <w:qFormat/>
    <w:uiPriority w:val="10"/>
    <w:pPr>
      <w:spacing w:before="120" w:after="120"/>
      <w:outlineLvl w:val="0"/>
    </w:pPr>
    <w:rPr>
      <w:rFonts w:ascii="Cambria" w:hAnsi="Cambria"/>
      <w:b/>
      <w:bCs/>
      <w:sz w:val="32"/>
      <w:szCs w:val="32"/>
    </w:rPr>
  </w:style>
  <w:style w:type="paragraph" w:customStyle="1" w:styleId="18">
    <w:name w:val="Default"/>
    <w:basedOn w:val="19"/>
    <w:next w:val="1"/>
    <w:autoRedefine/>
    <w:qFormat/>
    <w:uiPriority w:val="0"/>
    <w:pPr>
      <w:autoSpaceDE w:val="0"/>
      <w:autoSpaceDN w:val="0"/>
      <w:adjustRightInd w:val="0"/>
    </w:pPr>
    <w:rPr>
      <w:rFonts w:hAnsi="Times New Roman" w:cs="宋体"/>
      <w:color w:val="000000"/>
      <w:sz w:val="24"/>
      <w:szCs w:val="24"/>
    </w:rPr>
  </w:style>
  <w:style w:type="paragraph" w:customStyle="1" w:styleId="19">
    <w:name w:val="纯文本1"/>
    <w:basedOn w:val="1"/>
    <w:autoRedefine/>
    <w:qFormat/>
    <w:uiPriority w:val="0"/>
    <w:rPr>
      <w:rFonts w:hint="eastAsia" w:ascii="宋体" w:hAnsi="Courier New"/>
    </w:rPr>
  </w:style>
  <w:style w:type="paragraph" w:customStyle="1" w:styleId="20">
    <w:name w:val="baby-正文"/>
    <w:basedOn w:val="3"/>
    <w:next w:val="9"/>
    <w:autoRedefine/>
    <w:qFormat/>
    <w:uiPriority w:val="0"/>
    <w:pPr>
      <w:spacing w:line="240" w:lineRule="auto"/>
    </w:pPr>
    <w:rPr>
      <w:rFonts w:ascii="仿宋_GB2312" w:hAnsi="宋体"/>
      <w:bCs/>
      <w:kern w:val="2"/>
      <w:sz w:val="30"/>
      <w:szCs w:val="24"/>
    </w:rPr>
  </w:style>
  <w:style w:type="paragraph" w:customStyle="1" w:styleId="21">
    <w:name w:val="【正文】"/>
    <w:autoRedefine/>
    <w:qFormat/>
    <w:uiPriority w:val="0"/>
    <w:pPr>
      <w:spacing w:line="500" w:lineRule="exact"/>
    </w:pPr>
    <w:rPr>
      <w:rFonts w:ascii="宋体" w:hAnsi="Calibri" w:eastAsia="Calibri" w:cs="Times New Roman"/>
      <w:lang w:val="en-US" w:eastAsia="zh-CN" w:bidi="ar-SA"/>
    </w:rPr>
  </w:style>
  <w:style w:type="paragraph" w:customStyle="1" w:styleId="22">
    <w:name w:val="正文（首行缩进两字） Char"/>
    <w:basedOn w:val="1"/>
    <w:autoRedefine/>
    <w:qFormat/>
    <w:uiPriority w:val="0"/>
    <w:pPr>
      <w:widowControl/>
      <w:spacing w:line="360" w:lineRule="auto"/>
      <w:ind w:firstLine="480" w:firstLineChars="150"/>
    </w:pPr>
    <w:rPr>
      <w:rFonts w:eastAsia="仿宋"/>
      <w:color w:val="000000" w:themeColor="text1"/>
      <w:sz w:val="32"/>
      <w:szCs w:val="32"/>
      <w14:textFill>
        <w14:solidFill>
          <w14:schemeClr w14:val="tx1"/>
        </w14:solidFill>
      </w14:textFill>
    </w:rPr>
  </w:style>
  <w:style w:type="paragraph" w:customStyle="1" w:styleId="23">
    <w:name w:val="正文文字缩进1"/>
    <w:basedOn w:val="8"/>
    <w:qFormat/>
    <w:uiPriority w:val="0"/>
    <w:pPr>
      <w:spacing w:after="0" w:line="360" w:lineRule="auto"/>
      <w:ind w:left="0" w:leftChars="0" w:firstLine="560"/>
    </w:pPr>
    <w:rPr>
      <w:rFonts w:ascii="黑体" w:hAnsi="Arial Black" w:eastAsia="黑体"/>
      <w:b/>
      <w:bCs/>
      <w:sz w:val="28"/>
      <w:szCs w:val="20"/>
    </w:rPr>
  </w:style>
  <w:style w:type="paragraph" w:customStyle="1" w:styleId="24">
    <w:name w:val="C首行缩进正文"/>
    <w:basedOn w:val="21"/>
    <w:qFormat/>
    <w:uiPriority w:val="0"/>
    <w:rPr>
      <w:sz w:val="21"/>
    </w:rPr>
  </w:style>
  <w:style w:type="paragraph" w:customStyle="1" w:styleId="25">
    <w:name w:val="正文 + 首行缩进:  2 字符"/>
    <w:basedOn w:val="1"/>
    <w:qFormat/>
    <w:uiPriority w:val="0"/>
    <w:pPr>
      <w:spacing w:line="460" w:lineRule="atLeast"/>
      <w:ind w:firstLine="528"/>
    </w:pPr>
    <w:rPr>
      <w:spacing w:val="12"/>
      <w:szCs w:val="20"/>
    </w:rPr>
  </w:style>
  <w:style w:type="paragraph" w:customStyle="1" w:styleId="26">
    <w:name w:val="11111"/>
    <w:basedOn w:val="1"/>
    <w:next w:val="1"/>
    <w:qFormat/>
    <w:uiPriority w:val="0"/>
    <w:pPr>
      <w:spacing w:line="360" w:lineRule="auto"/>
      <w:ind w:firstLine="200" w:firstLineChars="200"/>
    </w:pPr>
    <w:rPr>
      <w:rFonts w:hAnsi="宋体" w:cs="宋体"/>
      <w:sz w:val="24"/>
    </w:rPr>
  </w:style>
  <w:style w:type="character" w:customStyle="1" w:styleId="27">
    <w:name w:val="页眉 Char"/>
    <w:basedOn w:val="17"/>
    <w:link w:val="11"/>
    <w:qFormat/>
    <w:uiPriority w:val="0"/>
    <w:rPr>
      <w:rFonts w:ascii="Times New Roman" w:hAnsi="Times New Roman" w:eastAsia="宋体" w:cs="Times New Roman"/>
      <w:kern w:val="2"/>
      <w:sz w:val="18"/>
      <w:szCs w:val="18"/>
    </w:rPr>
  </w:style>
  <w:style w:type="character" w:customStyle="1" w:styleId="28">
    <w:name w:val="页脚 Char"/>
    <w:basedOn w:val="17"/>
    <w:link w:val="10"/>
    <w:qFormat/>
    <w:uiPriority w:val="0"/>
    <w:rPr>
      <w:rFonts w:ascii="Times New Roman" w:hAnsi="Times New Roman" w:eastAsia="宋体" w:cs="Times New Roman"/>
      <w:kern w:val="2"/>
      <w:sz w:val="18"/>
      <w:szCs w:val="18"/>
    </w:rPr>
  </w:style>
  <w:style w:type="character" w:customStyle="1" w:styleId="29">
    <w:name w:val="[1]正文 Char Char"/>
    <w:basedOn w:val="17"/>
    <w:qFormat/>
    <w:uiPriority w:val="0"/>
    <w:rPr>
      <w:rFonts w:ascii="Calibri" w:hAnsi="Calibri" w:eastAsia="宋体"/>
      <w:kern w:val="2"/>
      <w:sz w:val="28"/>
      <w:szCs w:val="28"/>
      <w:lang w:val="en-GB"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2554</Words>
  <Characters>2810</Characters>
  <Lines>22</Lines>
  <Paragraphs>6</Paragraphs>
  <TotalTime>2</TotalTime>
  <ScaleCrop>false</ScaleCrop>
  <LinksUpToDate>false</LinksUpToDate>
  <CharactersWithSpaces>2810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2025-08-08T13:52:00Z</dcterms:created>
  <dc:creator>Dawn</dc:creator>
  <cp:lastModifiedBy>殊途同归</cp:lastModifiedBy>
  <cp:lastPrinted>2025-09-06T09:56:00Z</cp:lastPrinted>
  <dcterms:modified xsi:type="dcterms:W3CDTF">2025-11-18T10:55:08Z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9CD5637F742FAF9BA7AB1A698279CD44_43</vt:lpwstr>
  </property>
  <property fmtid="{D5CDD505-2E9C-101B-9397-08002B2CF9AE}" pid="4" name="KSOTemplateDocerSaveRecord">
    <vt:lpwstr>eyJoZGlkIjoiZmQ0M2ZmZTNmMjRmMTcwNzgzNzFjMTE0ZTk0YTgzOGEiLCJ1c2VySWQiOiI0OTcxNzU2MTIifQ==</vt:lpwstr>
  </property>
</Properties>
</file>