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拟审批意见</w:t>
      </w:r>
    </w:p>
    <w:tbl>
      <w:tblPr>
        <w:tblStyle w:val="16"/>
        <w:tblW w:w="9553" w:type="dxa"/>
        <w:tblCellSpacing w:w="15" w:type="dxa"/>
        <w:tblInd w:w="-477" w:type="dxa"/>
        <w:tblLayout w:type="fixed"/>
        <w:tblCellMar>
          <w:top w:w="0" w:type="dxa"/>
          <w:left w:w="0" w:type="dxa"/>
          <w:bottom w:w="0" w:type="dxa"/>
          <w:right w:w="0" w:type="dxa"/>
        </w:tblCellMar>
      </w:tblPr>
      <w:tblGrid>
        <w:gridCol w:w="1820"/>
        <w:gridCol w:w="7733"/>
      </w:tblGrid>
      <w:tr>
        <w:tblPrEx>
          <w:tblCellMar>
            <w:top w:w="0" w:type="dxa"/>
            <w:left w:w="0" w:type="dxa"/>
            <w:bottom w:w="0" w:type="dxa"/>
            <w:right w:w="0" w:type="dxa"/>
          </w:tblCellMar>
        </w:tblPrEx>
        <w:trPr>
          <w:trHeight w:val="1157" w:hRule="atLeast"/>
          <w:tblCellSpacing w:w="15" w:type="dxa"/>
        </w:trPr>
        <w:tc>
          <w:tcPr>
            <w:tcW w:w="1775" w:type="dxa"/>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pPr>
              <w:pStyle w:val="13"/>
              <w:widowControl/>
              <w:tabs>
                <w:tab w:val="left" w:pos="105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p>
        </w:tc>
        <w:tc>
          <w:tcPr>
            <w:tcW w:w="7688" w:type="dxa"/>
            <w:tcBorders>
              <w:top w:val="single" w:color="000000" w:sz="4" w:space="0"/>
              <w:left w:val="nil"/>
              <w:bottom w:val="single" w:color="000000" w:sz="4" w:space="0"/>
              <w:right w:val="single" w:color="000000" w:sz="4" w:space="0"/>
            </w:tcBorders>
            <w:tcMar>
              <w:left w:w="70" w:type="dxa"/>
              <w:right w:w="70" w:type="dxa"/>
            </w:tcMar>
            <w:vAlign w:val="center"/>
          </w:tcPr>
          <w:p>
            <w:pPr>
              <w:pStyle w:val="13"/>
              <w:widowControl/>
              <w:tabs>
                <w:tab w:val="left" w:pos="798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鹤岗市实中矿业有限公司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原鹤岗市交通煤矿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资源整合项目</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地址</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黑龙江省鹤岗市兴山区兴山矿一、二井东侧</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鹤岗市实中矿业有限公司</w:t>
            </w:r>
          </w:p>
        </w:tc>
      </w:tr>
      <w:tr>
        <w:tblPrEx>
          <w:tblCellMar>
            <w:top w:w="0" w:type="dxa"/>
            <w:left w:w="0" w:type="dxa"/>
            <w:bottom w:w="0" w:type="dxa"/>
            <w:right w:w="0" w:type="dxa"/>
          </w:tblCellMar>
        </w:tblPrEx>
        <w:trPr>
          <w:trHeight w:val="138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环境影响评价单位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黑龙江能顺环保科技有限公司</w:t>
            </w:r>
          </w:p>
        </w:tc>
      </w:tr>
      <w:tr>
        <w:tblPrEx>
          <w:tblCellMar>
            <w:top w:w="0" w:type="dxa"/>
            <w:left w:w="0" w:type="dxa"/>
            <w:bottom w:w="0" w:type="dxa"/>
            <w:right w:w="0" w:type="dxa"/>
          </w:tblCellMar>
        </w:tblPrEx>
        <w:trPr>
          <w:trHeight w:val="971"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概况</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15" w:lineRule="atLeas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由</w:t>
            </w:r>
            <w:r>
              <w:rPr>
                <w:rFonts w:hint="eastAsia" w:ascii="Times New Roman" w:hAnsi="Times New Roman" w:eastAsia="仿宋_GB2312" w:cs="仿宋_GB2312"/>
                <w:color w:val="auto"/>
                <w:kern w:val="0"/>
                <w:sz w:val="32"/>
                <w:szCs w:val="32"/>
                <w:lang w:val="en-US" w:eastAsia="zh-CN"/>
              </w:rPr>
              <w:t>于项目新增风井工业场地、副井工业场地位置变化、首采工作面等发生变化，根据《煤炭建设项目重大变动清单》，需要重新报批。项目建设性质为改建，为井下开采煤矿项目，整合后设计规模30万t/a。将原有风井工业场地改为副工业场地，并新建风井场地（利用原恒兴煤矿工业场地），原有副工业场地弃用后填平复垦后绿化；原食堂宿舍场地变更为仓库场地。共布置4处工业场地及1处炸药库场地，矿井开拓方式为斜井单水平开拓方式，全矿井共设4条井筒，分别为主井、副井、猴车井和风井等，整合矿区范围内15个煤层，全井田划分为三个采区，一采区为首采区，二采区、三采区为接续采区。将360万kcal/h生物质热风炉变更为240万kcal/h生物质热风炉，将1.5t/h生物质锅炉更换为2.5t/h生物质锅炉。项目总投资20340万，其中环保投资1401万。</w:t>
            </w:r>
          </w:p>
        </w:tc>
      </w:tr>
      <w:tr>
        <w:tblPrEx>
          <w:tblCellMar>
            <w:top w:w="0" w:type="dxa"/>
            <w:left w:w="0" w:type="dxa"/>
            <w:bottom w:w="0" w:type="dxa"/>
            <w:right w:w="0" w:type="dxa"/>
          </w:tblCellMar>
        </w:tblPrEx>
        <w:trPr>
          <w:trHeight w:val="311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snapToGrid w:val="0"/>
              <w:spacing w:before="0"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tcMar>
              <w:left w:w="70" w:type="dxa"/>
              <w:right w:w="70" w:type="dxa"/>
            </w:tcMar>
            <w:vAlign w:val="center"/>
          </w:tcPr>
          <w:p>
            <w:pPr>
              <w:autoSpaceDN w:val="0"/>
              <w:adjustRightInd w:val="0"/>
              <w:snapToGrid w:val="0"/>
              <w:spacing w:line="360" w:lineRule="auto"/>
              <w:ind w:firstLine="640" w:firstLineChars="200"/>
              <w:rPr>
                <w:rFonts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一、施工期</w:t>
            </w:r>
          </w:p>
          <w:p>
            <w:pPr>
              <w:tabs>
                <w:tab w:val="left" w:pos="6480"/>
              </w:tabs>
              <w:adjustRightInd w:val="0"/>
              <w:snapToGrid w:val="0"/>
              <w:spacing w:line="360" w:lineRule="auto"/>
              <w:ind w:firstLine="640" w:firstLineChars="200"/>
              <w:rPr>
                <w:rFonts w:hint="eastAsia" w:eastAsia="仿宋"/>
                <w:color w:val="000000" w:themeColor="text1"/>
                <w:sz w:val="28"/>
                <w:szCs w:val="28"/>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通过清扫、冲洗、蓬布遮盖和封闭等手段，减少运输扬尘。生活污水排入工业场地内既有防渗旱厕，定期清掏用于堆肥处理，施工废水集中收集，经临时沉淀池处理后用于地面洒水。从施工设备选型、设备安装质量、施工现场管理施工机械布置等方面，减少施工噪音。项目施工期建筑垃圾（废弃的碎砖、石块、砼块等）全部作为场地的填筑料；其它如建材包装纸、纸箱可回收利用的废弃物全部送往废品站进行回收利用；施工人员生活垃圾分类收集后，运至市政指定地点由市政统一处理。</w:t>
            </w:r>
          </w:p>
          <w:p>
            <w:pPr>
              <w:autoSpaceDN w:val="0"/>
              <w:adjustRightInd w:val="0"/>
              <w:snapToGrid w:val="0"/>
              <w:spacing w:line="360" w:lineRule="auto"/>
              <w:ind w:firstLine="64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、运营期</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（一）生态环境保护措施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采取填充裂缝、矸石充填沉陷坑、平整土地等措施；沉陷地表植被恢复为耕地、林地、草地等，采取有效措施维持区域生态系统服务功能，保证生态系统的可持续发展。</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锅炉烟气：采用1台2.5t/h生物质热水锅炉用于工业场地冬季采暖及浴室热水供应，锅炉烟气通过旋风+布袋除尘器处理后经1根30m烟囱排放。热风炉烟气：1台240万kcal/h热风炉烟气通过布袋除尘器处理后经1根15m高烟囱排放。</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2、筛分工序粉尘：筛分工序设置一套集气罩，由吸气罩收集后经布袋除尘器除尘，处理后由15m高排气筒排放。</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3、原煤及矸石储存、装卸扬尘：翻矸机房内矸石在井下采煤过程中采取了洒水降尘措施，翻车机房全封闭；原煤筛分后，储存在全封闭储煤场，各转载点设置喷雾洒水装置；矸石储存在临时矸石仓，洒水降尘。</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4、运输道路扬尘：对场外道路定期洒水和清扫，加强对道路的维护，保证其路面处于完好状态。</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5、回风井粉尘及瓦斯：井下作业时加强井下喷雾及其他综合防尘措施，降低井下通风含尘量。</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6、食堂油烟：食堂设置油烟净化器，处理后的油烟经高于屋顶的排气筒排放。</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7、生活污水处理站恶臭：生活污水处理站密闭运行，定期喷洒除臭剂。</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8、危险废物贮存库废气：废润滑油均放置在封闭的容器内，挥发到外环境的非甲烷总烃较少，危险废物贮存库密闭，对周围环境影响较小。</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（三）水污染防治措施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矿井涌水经处理后回用于井下生产，生产用水不足部分由管网补充。处理后的锅炉排水及生活污水回用于井下生产用水，不外排。设置初期雨水收集池，初步沉淀后排入矿井水污水处理站处理后回用。</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（四）噪声污染防治措施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w:t>
            </w:r>
            <w:r>
              <w:rPr>
                <w:rFonts w:hint="eastAsia" w:eastAsia="仿宋_GB2312" w:cs="仿宋_GB2312"/>
                <w:color w:val="auto"/>
                <w:kern w:val="0"/>
                <w:sz w:val="32"/>
                <w:szCs w:val="32"/>
                <w:lang w:val="en-US" w:eastAsia="zh-CN" w:bidi="ar-SA"/>
              </w:rPr>
              <w:t>在</w:t>
            </w:r>
            <w:r>
              <w:rPr>
                <w:rFonts w:hint="eastAsia" w:ascii="Times New Roman" w:hAnsi="Times New Roman" w:eastAsia="仿宋_GB2312" w:cs="仿宋_GB2312"/>
                <w:color w:val="auto"/>
                <w:kern w:val="0"/>
                <w:sz w:val="32"/>
                <w:szCs w:val="32"/>
                <w:lang w:val="en-US" w:eastAsia="zh-CN" w:bidi="ar-SA"/>
              </w:rPr>
              <w:t>工业场地布置</w:t>
            </w:r>
            <w:r>
              <w:rPr>
                <w:rFonts w:hint="eastAsia" w:eastAsia="仿宋_GB2312" w:cs="仿宋_GB2312"/>
                <w:color w:val="auto"/>
                <w:kern w:val="0"/>
                <w:sz w:val="32"/>
                <w:szCs w:val="32"/>
                <w:lang w:val="en-US" w:eastAsia="zh-CN" w:bidi="ar-SA"/>
              </w:rPr>
              <w:t>方面</w:t>
            </w:r>
            <w:r>
              <w:rPr>
                <w:rFonts w:hint="eastAsia" w:ascii="Times New Roman" w:hAnsi="Times New Roman" w:eastAsia="仿宋_GB2312" w:cs="仿宋_GB2312"/>
                <w:color w:val="auto"/>
                <w:kern w:val="0"/>
                <w:sz w:val="32"/>
                <w:szCs w:val="32"/>
                <w:lang w:val="en-US" w:eastAsia="zh-CN" w:bidi="ar-SA"/>
              </w:rPr>
              <w:t>，低噪声建筑布置在场地周边，使难以采取措施控制的偶发性噪声源远离生活区等噪声敏感点。</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2、尽量选用低噪声设备，并根据噪声源特征分别采取消声、吸声、隔声及减振等措施。各厂界昼夜间噪声贡献值均</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满足《工业企业厂界环境噪声排放标准》（GB12348-2008）中2类区标准要求。</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（五）固体废物治理</w:t>
            </w:r>
          </w:p>
          <w:tbl>
            <w:tblPr>
              <w:tblStyle w:val="16"/>
              <w:tblW w:w="7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05"/>
              <w:gridCol w:w="1582"/>
              <w:gridCol w:w="231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固体废物名称</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固废属性</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固废代码</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处置措施</w:t>
                  </w:r>
                </w:p>
                <w:p>
                  <w:pPr>
                    <w:jc w:val="center"/>
                    <w:rPr>
                      <w:rFonts w:ascii="Times New Roman" w:hAnsi="Times New Roman" w:eastAsia="仿宋_GB2312"/>
                    </w:rPr>
                  </w:pPr>
                  <w:r>
                    <w:rPr>
                      <w:rFonts w:ascii="Times New Roman" w:hAnsi="Times New Roman" w:eastAsia="仿宋_GB2312"/>
                    </w:rPr>
                    <w:t>工艺</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最终</w:t>
                  </w:r>
                </w:p>
                <w:p>
                  <w:pPr>
                    <w:jc w:val="center"/>
                    <w:rPr>
                      <w:rFonts w:ascii="Times New Roman" w:hAnsi="Times New Roman" w:eastAsia="仿宋_GB2312"/>
                    </w:rPr>
                  </w:pPr>
                  <w:r>
                    <w:rPr>
                      <w:rFonts w:ascii="Times New Roman" w:hAnsi="Times New Roman" w:eastAsia="仿宋_GB2312"/>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开采矸石</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SW04（060-001-S04）</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用于井下充填材料及地表沉陷坑的回填治理</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矿井水处理站煤泥</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SW07（</w:t>
                  </w:r>
                  <w:r>
                    <w:rPr>
                      <w:rFonts w:ascii="Times New Roman" w:hAnsi="Times New Roman" w:eastAsia="仿宋_GB2312" w:cs="Times New Roman"/>
                      <w:color w:val="auto"/>
                      <w:sz w:val="21"/>
                      <w:szCs w:val="21"/>
                    </w:rPr>
                    <w:t>900-099-S07</w:t>
                  </w:r>
                  <w:r>
                    <w:rPr>
                      <w:rFonts w:ascii="Times New Roman" w:hAnsi="Times New Roman" w:eastAsia="仿宋_GB2312"/>
                    </w:rPr>
                    <w:t>）</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压滤后外售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生活污水处理站</w:t>
                  </w:r>
                  <w:bookmarkStart w:id="0" w:name="OLE_LINK26"/>
                  <w:bookmarkStart w:id="1" w:name="OLE_LINK27"/>
                  <w:r>
                    <w:rPr>
                      <w:rFonts w:ascii="Times New Roman" w:hAnsi="Times New Roman" w:eastAsia="仿宋_GB2312"/>
                    </w:rPr>
                    <w:t>污泥</w:t>
                  </w:r>
                  <w:bookmarkEnd w:id="0"/>
                  <w:bookmarkEnd w:id="1"/>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SW07（</w:t>
                  </w:r>
                  <w:r>
                    <w:rPr>
                      <w:rFonts w:ascii="Times New Roman" w:hAnsi="Times New Roman" w:eastAsia="仿宋_GB2312" w:cs="Times New Roman"/>
                      <w:color w:val="auto"/>
                      <w:sz w:val="21"/>
                      <w:szCs w:val="21"/>
                    </w:rPr>
                    <w:t>900-099-S07</w:t>
                  </w:r>
                  <w:r>
                    <w:rPr>
                      <w:rFonts w:ascii="Times New Roman" w:hAnsi="Times New Roman" w:eastAsia="仿宋_GB2312"/>
                    </w:rPr>
                    <w:t>）</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压滤至含水率小于60%后，与生活垃圾一并送环卫部门指定地点处置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锅炉灰渣</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SW03（900-099-S03）</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统一收集后，全部综合利用</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废离子交换树脂</w:t>
                  </w:r>
                </w:p>
              </w:tc>
              <w:tc>
                <w:tcPr>
                  <w:tcW w:w="1005" w:type="dxa"/>
                  <w:noWrap w:val="0"/>
                  <w:vAlign w:val="center"/>
                </w:tcPr>
                <w:p>
                  <w:pPr>
                    <w:jc w:val="center"/>
                    <w:rPr>
                      <w:rFonts w:ascii="Times New Roman" w:hAnsi="Times New Roman" w:eastAsia="仿宋_GB2312"/>
                    </w:rPr>
                  </w:pPr>
                  <w:bookmarkStart w:id="2" w:name="OLE_LINK372"/>
                  <w:r>
                    <w:rPr>
                      <w:rFonts w:ascii="Times New Roman" w:hAnsi="Times New Roman" w:eastAsia="仿宋_GB2312"/>
                    </w:rPr>
                    <w:t>一般固废</w:t>
                  </w:r>
                  <w:bookmarkEnd w:id="2"/>
                </w:p>
              </w:tc>
              <w:tc>
                <w:tcPr>
                  <w:tcW w:w="1582" w:type="dxa"/>
                  <w:noWrap w:val="0"/>
                  <w:vAlign w:val="center"/>
                </w:tcPr>
                <w:p>
                  <w:pPr>
                    <w:jc w:val="center"/>
                    <w:rPr>
                      <w:rFonts w:ascii="Times New Roman" w:hAnsi="Times New Roman" w:eastAsia="仿宋_GB2312"/>
                    </w:rPr>
                  </w:pPr>
                  <w:bookmarkStart w:id="3" w:name="OLE_LINK386"/>
                  <w:bookmarkStart w:id="4" w:name="OLE_LINK385"/>
                  <w:r>
                    <w:rPr>
                      <w:rFonts w:ascii="Times New Roman" w:hAnsi="Times New Roman" w:eastAsia="仿宋_GB2312"/>
                    </w:rPr>
                    <w:t>SW59</w:t>
                  </w:r>
                  <w:bookmarkEnd w:id="3"/>
                  <w:bookmarkEnd w:id="4"/>
                  <w:r>
                    <w:rPr>
                      <w:rFonts w:ascii="Times New Roman" w:hAnsi="Times New Roman" w:eastAsia="仿宋_GB2312"/>
                    </w:rPr>
                    <w:t>（</w:t>
                  </w:r>
                  <w:bookmarkStart w:id="5" w:name="OLE_LINK388"/>
                  <w:bookmarkStart w:id="6" w:name="OLE_LINK387"/>
                  <w:r>
                    <w:rPr>
                      <w:rFonts w:ascii="Times New Roman" w:hAnsi="Times New Roman" w:eastAsia="仿宋_GB2312"/>
                    </w:rPr>
                    <w:t>900-008-S59</w:t>
                  </w:r>
                  <w:bookmarkEnd w:id="5"/>
                  <w:bookmarkEnd w:id="6"/>
                  <w:r>
                    <w:rPr>
                      <w:rFonts w:ascii="Times New Roman" w:hAnsi="Times New Roman" w:eastAsia="仿宋_GB2312"/>
                    </w:rPr>
                    <w:t>）</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厂家定期回收</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厂家定期回收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bookmarkStart w:id="7" w:name="OLE_LINK376" w:colFirst="2" w:colLast="66"/>
                  <w:bookmarkStart w:id="8" w:name="_Hlk195522512"/>
                  <w:bookmarkStart w:id="9" w:name="OLE_LINK410" w:colFirst="2" w:colLast="66"/>
                  <w:bookmarkStart w:id="10" w:name="OLE_LINK409" w:colFirst="0" w:colLast="64"/>
                  <w:bookmarkStart w:id="11" w:name="OLE_LINK373" w:colFirst="2" w:colLast="66"/>
                  <w:bookmarkStart w:id="12" w:name="OLE_LINK411" w:colFirst="2" w:colLast="66"/>
                  <w:r>
                    <w:rPr>
                      <w:rFonts w:ascii="Times New Roman" w:hAnsi="Times New Roman" w:eastAsia="仿宋_GB2312"/>
                    </w:rPr>
                    <w:t>锅炉除尘器收尘</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SW02（</w:t>
                  </w:r>
                  <w:bookmarkStart w:id="13" w:name="OLE_LINK389"/>
                  <w:bookmarkStart w:id="14" w:name="OLE_LINK390"/>
                  <w:r>
                    <w:rPr>
                      <w:rFonts w:ascii="Times New Roman" w:hAnsi="Times New Roman" w:eastAsia="仿宋_GB2312"/>
                    </w:rPr>
                    <w:t>900-001-S02</w:t>
                  </w:r>
                  <w:bookmarkEnd w:id="13"/>
                  <w:bookmarkEnd w:id="14"/>
                  <w:r>
                    <w:rPr>
                      <w:rFonts w:ascii="Times New Roman" w:hAnsi="Times New Roman" w:eastAsia="仿宋_GB2312"/>
                    </w:rPr>
                    <w:t>）</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集中收集，外售综合利用</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废布袋</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SW59（900-099-S59）</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由生产厂家回收</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厂家定期回收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筛分过程收尘</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SW59（900-099-S59）</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外售综合利用</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外售综合利用</w:t>
                  </w:r>
                </w:p>
              </w:tc>
            </w:tr>
            <w:bookmarkEnd w:id="7"/>
            <w:bookmarkEnd w:id="8"/>
            <w:bookmarkEnd w:id="9"/>
            <w:bookmarkEnd w:id="10"/>
            <w:bookmarkEnd w:id="11"/>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生活垃圾</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一般固废</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SW64（900-002-S64）</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分类收集后统一送往环卫部门指定地点处置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废矿物油</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危险废物</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HW08（900-214-08）</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在危险废物贮存库分区暂存，定期委托有资质单位处置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废油桶</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危险废物</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HW08（900-249-08）</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在危险废物贮存库分区暂存，定期委托有资质单位处置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bookmarkStart w:id="15" w:name="OLE_LINK226" w:colFirst="3" w:colLast="67"/>
                  <w:bookmarkStart w:id="16" w:name="OLE_LINK203" w:colFirst="0" w:colLast="64"/>
                  <w:bookmarkStart w:id="17" w:name="OLE_LINK235" w:colFirst="0" w:colLast="64"/>
                  <w:bookmarkStart w:id="18" w:name="OLE_LINK202" w:colFirst="0" w:colLast="64"/>
                  <w:bookmarkStart w:id="19" w:name="OLE_LINK412" w:colFirst="0" w:colLast="64"/>
                  <w:bookmarkStart w:id="20" w:name="_Hlk195168105"/>
                  <w:bookmarkStart w:id="21" w:name="OLE_LINK236" w:colFirst="0" w:colLast="64"/>
                  <w:bookmarkStart w:id="22" w:name="OLE_LINK413" w:colFirst="0" w:colLast="64"/>
                  <w:r>
                    <w:rPr>
                      <w:rFonts w:ascii="Times New Roman" w:hAnsi="Times New Roman" w:eastAsia="仿宋_GB2312"/>
                    </w:rPr>
                    <w:t>废乳化液</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危险废物</w:t>
                  </w:r>
                </w:p>
              </w:tc>
              <w:tc>
                <w:tcPr>
                  <w:tcW w:w="1582" w:type="dxa"/>
                  <w:noWrap w:val="0"/>
                  <w:vAlign w:val="center"/>
                </w:tcPr>
                <w:p>
                  <w:pPr>
                    <w:jc w:val="center"/>
                    <w:rPr>
                      <w:rFonts w:ascii="Times New Roman" w:hAnsi="Times New Roman" w:eastAsia="仿宋_GB2312"/>
                    </w:rPr>
                  </w:pPr>
                  <w:bookmarkStart w:id="23" w:name="OLE_LINK227"/>
                  <w:bookmarkStart w:id="24" w:name="OLE_LINK228"/>
                  <w:r>
                    <w:rPr>
                      <w:rFonts w:ascii="Times New Roman" w:hAnsi="Times New Roman" w:eastAsia="仿宋_GB2312"/>
                    </w:rPr>
                    <w:t>HW09（</w:t>
                  </w:r>
                  <w:bookmarkStart w:id="25" w:name="OLE_LINK414"/>
                  <w:r>
                    <w:rPr>
                      <w:rFonts w:ascii="Times New Roman" w:hAnsi="Times New Roman" w:eastAsia="仿宋_GB2312"/>
                    </w:rPr>
                    <w:t>900-007-09</w:t>
                  </w:r>
                  <w:bookmarkEnd w:id="25"/>
                  <w:r>
                    <w:rPr>
                      <w:rFonts w:ascii="Times New Roman" w:hAnsi="Times New Roman" w:eastAsia="仿宋_GB2312"/>
                    </w:rPr>
                    <w:t>）</w:t>
                  </w:r>
                  <w:bookmarkEnd w:id="23"/>
                  <w:bookmarkEnd w:id="24"/>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在危险废物贮存库分区暂存，定期委托有资质单位处置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废铅蓄电池</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危险废物</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HW31（</w:t>
                  </w:r>
                  <w:bookmarkStart w:id="26" w:name="OLE_LINK416"/>
                  <w:bookmarkStart w:id="27" w:name="OLE_LINK415"/>
                  <w:r>
                    <w:rPr>
                      <w:rFonts w:ascii="Times New Roman" w:hAnsi="Times New Roman" w:eastAsia="仿宋_GB2312"/>
                    </w:rPr>
                    <w:t>900-052-31</w:t>
                  </w:r>
                  <w:bookmarkEnd w:id="26"/>
                  <w:bookmarkEnd w:id="27"/>
                  <w:r>
                    <w:rPr>
                      <w:rFonts w:ascii="Times New Roman" w:hAnsi="Times New Roman" w:eastAsia="仿宋_GB2312"/>
                    </w:rPr>
                    <w:t>）</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在危险废物贮存库分区暂存，定期委托有资质单位处置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atLeast"/>
              </w:trPr>
              <w:tc>
                <w:tcPr>
                  <w:tcW w:w="1020" w:type="dxa"/>
                  <w:noWrap w:val="0"/>
                  <w:vAlign w:val="center"/>
                </w:tcPr>
                <w:p>
                  <w:pPr>
                    <w:jc w:val="center"/>
                    <w:rPr>
                      <w:rFonts w:ascii="Times New Roman" w:hAnsi="Times New Roman" w:eastAsia="仿宋_GB2312"/>
                    </w:rPr>
                  </w:pPr>
                  <w:r>
                    <w:rPr>
                      <w:rFonts w:ascii="Times New Roman" w:hAnsi="Times New Roman" w:eastAsia="仿宋_GB2312"/>
                    </w:rPr>
                    <w:t>废弃含油废抹布劳保用品</w:t>
                  </w:r>
                </w:p>
              </w:tc>
              <w:tc>
                <w:tcPr>
                  <w:tcW w:w="1005" w:type="dxa"/>
                  <w:noWrap w:val="0"/>
                  <w:vAlign w:val="center"/>
                </w:tcPr>
                <w:p>
                  <w:pPr>
                    <w:jc w:val="center"/>
                    <w:rPr>
                      <w:rFonts w:ascii="Times New Roman" w:hAnsi="Times New Roman" w:eastAsia="仿宋_GB2312"/>
                    </w:rPr>
                  </w:pPr>
                  <w:r>
                    <w:rPr>
                      <w:rFonts w:ascii="Times New Roman" w:hAnsi="Times New Roman" w:eastAsia="仿宋_GB2312"/>
                    </w:rPr>
                    <w:t>危险废物</w:t>
                  </w:r>
                </w:p>
              </w:tc>
              <w:tc>
                <w:tcPr>
                  <w:tcW w:w="1582" w:type="dxa"/>
                  <w:noWrap w:val="0"/>
                  <w:vAlign w:val="center"/>
                </w:tcPr>
                <w:p>
                  <w:pPr>
                    <w:jc w:val="center"/>
                    <w:rPr>
                      <w:rFonts w:ascii="Times New Roman" w:hAnsi="Times New Roman" w:eastAsia="仿宋_GB2312"/>
                    </w:rPr>
                  </w:pPr>
                  <w:r>
                    <w:rPr>
                      <w:rFonts w:ascii="Times New Roman" w:hAnsi="Times New Roman" w:eastAsia="仿宋_GB2312"/>
                    </w:rPr>
                    <w:t>900-041-49</w:t>
                  </w:r>
                </w:p>
              </w:tc>
              <w:tc>
                <w:tcPr>
                  <w:tcW w:w="2310" w:type="dxa"/>
                  <w:noWrap w:val="0"/>
                  <w:vAlign w:val="center"/>
                </w:tcPr>
                <w:p>
                  <w:pPr>
                    <w:jc w:val="center"/>
                    <w:rPr>
                      <w:rFonts w:ascii="Times New Roman" w:hAnsi="Times New Roman" w:eastAsia="仿宋_GB2312"/>
                    </w:rPr>
                  </w:pPr>
                  <w:r>
                    <w:rPr>
                      <w:rFonts w:ascii="Times New Roman" w:hAnsi="Times New Roman" w:eastAsia="仿宋_GB2312"/>
                    </w:rPr>
                    <w:t>在危险废物贮存库分区暂存，定期委托有资质单位处置</w:t>
                  </w:r>
                </w:p>
              </w:tc>
              <w:tc>
                <w:tcPr>
                  <w:tcW w:w="1635" w:type="dxa"/>
                  <w:noWrap w:val="0"/>
                  <w:vAlign w:val="center"/>
                </w:tcPr>
                <w:p>
                  <w:pPr>
                    <w:jc w:val="center"/>
                    <w:rPr>
                      <w:rFonts w:ascii="Times New Roman" w:hAnsi="Times New Roman" w:eastAsia="仿宋_GB2312"/>
                    </w:rPr>
                  </w:pPr>
                  <w:r>
                    <w:rPr>
                      <w:rFonts w:ascii="Times New Roman" w:hAnsi="Times New Roman" w:eastAsia="仿宋_GB2312"/>
                    </w:rPr>
                    <w:t>委托有资质单位处置</w:t>
                  </w:r>
                </w:p>
              </w:tc>
            </w:tr>
            <w:bookmarkEnd w:id="15"/>
            <w:bookmarkEnd w:id="16"/>
            <w:bookmarkEnd w:id="17"/>
            <w:bookmarkEnd w:id="18"/>
            <w:bookmarkEnd w:id="19"/>
            <w:bookmarkEnd w:id="20"/>
            <w:bookmarkEnd w:id="21"/>
            <w:bookmarkEnd w:id="22"/>
          </w:tbl>
          <w:p>
            <w:pPr>
              <w:tabs>
                <w:tab w:val="left" w:pos="6480"/>
              </w:tabs>
              <w:adjustRightInd w:val="0"/>
              <w:snapToGrid w:val="0"/>
              <w:spacing w:line="360" w:lineRule="auto"/>
              <w:rPr>
                <w:rFonts w:eastAsia="仿宋"/>
                <w:color w:val="000000" w:themeColor="text1"/>
                <w:sz w:val="28"/>
                <w:szCs w:val="28"/>
                <w14:textFill>
                  <w14:solidFill>
                    <w14:schemeClr w14:val="tx1"/>
                  </w14:solidFill>
                </w14:textFill>
              </w:rPr>
            </w:pP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（六）</w:t>
            </w:r>
            <w:r>
              <w:rPr>
                <w:rFonts w:hint="eastAsia" w:ascii="楷体" w:hAnsi="楷体" w:eastAsia="楷体" w:cs="楷体"/>
                <w:b/>
                <w:bCs/>
                <w:color w:val="auto"/>
                <w:sz w:val="32"/>
                <w:szCs w:val="32"/>
                <w:lang w:val="zh-CN" w:eastAsia="zh-CN"/>
              </w:rPr>
              <w:t>地下水、土壤环境污染防治措施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结合观测区地质、水文地质、地表、地下条件，以用最少点控制较大面积为原则，建立地下水动态观测网，以掌握地下水位动态变化规律，有效预测疏干矿井水，指导疏干工作。工业场地内依据原料、辅料、产品的生产输送、储存、污水处理等环节，结合项目总平面布置情况，将项目工业场地分为重点防渗区、一般防渗区和简单防渗区，定期进行环境监测。</w:t>
            </w:r>
          </w:p>
          <w:p>
            <w:pPr>
              <w:autoSpaceDN w:val="0"/>
              <w:adjustRightInd w:val="0"/>
              <w:snapToGrid w:val="0"/>
              <w:spacing w:line="360" w:lineRule="auto"/>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三、环境风险防范措施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1、危险废物贮存库内应建设防止流体流散的设施和集油（水）坑，地面应为不发火混凝土地面，门、窗采用防火门窗。</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2、危险废物贮存库内应设立标志，加强巡检，防止人为破坏。建成营运后，要提髙操作人员的素质和管理水平，防止或减少事故风险的发生，确保危险废物贮存库的正常运行。</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3、废油采用桶装。</w:t>
            </w:r>
          </w:p>
          <w:p>
            <w:pPr>
              <w:tabs>
                <w:tab w:val="left" w:pos="6480"/>
              </w:tabs>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4、炸药库制定防盗窃、防抢劫、防破坏的应急预案和实施细则，并每半年组织人员进行一次演练。</w:t>
            </w:r>
          </w:p>
        </w:tc>
      </w:tr>
      <w:tr>
        <w:tblPrEx>
          <w:tblCellMar>
            <w:top w:w="0" w:type="dxa"/>
            <w:left w:w="0" w:type="dxa"/>
            <w:bottom w:w="0" w:type="dxa"/>
            <w:right w:w="0" w:type="dxa"/>
          </w:tblCellMar>
        </w:tblPrEx>
        <w:trPr>
          <w:trHeight w:val="1223"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公众参与情况</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已开展</w:t>
            </w:r>
          </w:p>
        </w:tc>
      </w:tr>
      <w:tr>
        <w:tblPrEx>
          <w:tblCellMar>
            <w:top w:w="0" w:type="dxa"/>
            <w:left w:w="0" w:type="dxa"/>
            <w:bottom w:w="0" w:type="dxa"/>
            <w:right w:w="0" w:type="dxa"/>
          </w:tblCellMar>
        </w:tblPrEx>
        <w:trPr>
          <w:trHeight w:val="4422"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拟批复</w:t>
            </w:r>
          </w:p>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意见</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同意</w:t>
            </w:r>
          </w:p>
        </w:tc>
      </w:tr>
    </w:tbl>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仿宋_GB2312"/>
          <w:color w:val="auto"/>
          <w:kern w:val="0"/>
          <w:sz w:val="32"/>
          <w:szCs w:val="32"/>
          <w:lang w:val="en-US" w:eastAsia="zh-CN" w:bidi="ar-SA"/>
        </w:rPr>
      </w:pPr>
    </w:p>
    <w:tbl>
      <w:tblPr>
        <w:tblStyle w:val="16"/>
        <w:tblW w:w="9553" w:type="dxa"/>
        <w:tblCellSpacing w:w="15" w:type="dxa"/>
        <w:tblInd w:w="-477" w:type="dxa"/>
        <w:tblLayout w:type="fixed"/>
        <w:tblCellMar>
          <w:top w:w="0" w:type="dxa"/>
          <w:left w:w="0" w:type="dxa"/>
          <w:bottom w:w="0" w:type="dxa"/>
          <w:right w:w="0" w:type="dxa"/>
        </w:tblCellMar>
      </w:tblPr>
      <w:tblGrid>
        <w:gridCol w:w="1820"/>
        <w:gridCol w:w="7733"/>
      </w:tblGrid>
      <w:tr>
        <w:tblPrEx>
          <w:tblCellMar>
            <w:top w:w="0" w:type="dxa"/>
            <w:left w:w="0" w:type="dxa"/>
            <w:bottom w:w="0" w:type="dxa"/>
            <w:right w:w="0" w:type="dxa"/>
          </w:tblCellMar>
        </w:tblPrEx>
        <w:trPr>
          <w:trHeight w:val="1157" w:hRule="atLeast"/>
          <w:tblCellSpacing w:w="15" w:type="dxa"/>
        </w:trPr>
        <w:tc>
          <w:tcPr>
            <w:tcW w:w="1775" w:type="dxa"/>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pPr>
              <w:pStyle w:val="13"/>
              <w:widowControl/>
              <w:tabs>
                <w:tab w:val="left" w:pos="105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p>
        </w:tc>
        <w:tc>
          <w:tcPr>
            <w:tcW w:w="7688" w:type="dxa"/>
            <w:tcBorders>
              <w:top w:val="single" w:color="000000" w:sz="4" w:space="0"/>
              <w:left w:val="nil"/>
              <w:bottom w:val="single" w:color="000000" w:sz="4" w:space="0"/>
              <w:right w:val="single" w:color="000000" w:sz="4" w:space="0"/>
            </w:tcBorders>
            <w:tcMar>
              <w:left w:w="70" w:type="dxa"/>
              <w:right w:w="70" w:type="dxa"/>
            </w:tcMar>
            <w:vAlign w:val="center"/>
          </w:tcPr>
          <w:p>
            <w:pPr>
              <w:pStyle w:val="13"/>
              <w:widowControl/>
              <w:tabs>
                <w:tab w:val="left" w:pos="798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鹤岗鸿仁医院建设项目</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地址</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bidi="ar-SA"/>
              </w:rPr>
              <w:t>黑龙江省鹤岗市工农区4委卫校</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鹤岗鸿仁医院</w:t>
            </w:r>
          </w:p>
        </w:tc>
      </w:tr>
      <w:tr>
        <w:tblPrEx>
          <w:tblCellMar>
            <w:top w:w="0" w:type="dxa"/>
            <w:left w:w="0" w:type="dxa"/>
            <w:bottom w:w="0" w:type="dxa"/>
            <w:right w:w="0" w:type="dxa"/>
          </w:tblCellMar>
        </w:tblPrEx>
        <w:trPr>
          <w:trHeight w:val="138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环境影响评价单位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黑龙江鼎灿生态环境科技有限公司</w:t>
            </w:r>
          </w:p>
        </w:tc>
      </w:tr>
      <w:tr>
        <w:tblPrEx>
          <w:tblCellMar>
            <w:top w:w="0" w:type="dxa"/>
            <w:left w:w="0" w:type="dxa"/>
            <w:bottom w:w="0" w:type="dxa"/>
            <w:right w:w="0" w:type="dxa"/>
          </w:tblCellMar>
        </w:tblPrEx>
        <w:trPr>
          <w:trHeight w:val="971"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概况</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15" w:lineRule="atLeas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bidi="ar-SA"/>
              </w:rPr>
              <w:t>项目建设性质为新建，独栋建设，一层为化验室、核磁、CT室、彩超、办公室等，二层为康复中心办公室、肺功能、内科、中医室、肠胃镜室，三至七层主要为病房、房间，中医科室不提供煎药服务，不设置传染病科室，设置床位101张，日门诊就诊人数约20人。不设食堂，不暂存柴油，停电前根据政府通知及时购置。设置化粪池和污水处理站。环评报告表不包括辐射和放射性环境影响评价，项目涉及的有关辐射和放射性设备、放射性污染物及处理方式等内容，另履行环境影响评价手续。项目总投资1000万元，其中环保投资26万元。</w:t>
            </w:r>
          </w:p>
        </w:tc>
      </w:tr>
      <w:tr>
        <w:tblPrEx>
          <w:tblCellMar>
            <w:top w:w="0" w:type="dxa"/>
            <w:left w:w="0" w:type="dxa"/>
            <w:bottom w:w="0" w:type="dxa"/>
            <w:right w:w="0" w:type="dxa"/>
          </w:tblCellMar>
        </w:tblPrEx>
        <w:trPr>
          <w:trHeight w:val="311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snapToGrid w:val="0"/>
              <w:spacing w:before="0"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tcMar>
              <w:left w:w="70" w:type="dxa"/>
              <w:right w:w="70" w:type="dxa"/>
            </w:tcMar>
            <w:vAlign w:val="center"/>
          </w:tcPr>
          <w:p>
            <w:pPr>
              <w:autoSpaceDN w:val="0"/>
              <w:adjustRightInd w:val="0"/>
              <w:snapToGrid w:val="0"/>
              <w:spacing w:line="360" w:lineRule="auto"/>
              <w:ind w:firstLine="640" w:firstLineChars="200"/>
              <w:rPr>
                <w:rFonts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一、施工期</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项目租赁建成独栋建筑成立医院，不涉及对环境影响较大的土建内容，建设内容主要是设备进场，环保设施的安装等内容，工期较短，选择工作日进行施工。</w:t>
            </w:r>
          </w:p>
          <w:p>
            <w:pPr>
              <w:autoSpaceDN w:val="0"/>
              <w:adjustRightInd w:val="0"/>
              <w:snapToGrid w:val="0"/>
              <w:spacing w:line="360" w:lineRule="auto"/>
              <w:ind w:firstLine="64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、运营期</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污水处理站的恶臭（无组织）：污水处理站密闭并设置遮盖挡板，经上述措施处理后</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满足《医疗机构水污染物排放标准》（GB18466－2005）中表3的标准。</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备用发电机：备用发电机运行过程中产生的污染物通过换气扇无组织排放至室外，排放的污染物</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满足《非道路移动机械用柴油机排气污染物排放限值及测量方法（中国第三、四阶段）》（B 20891-2014）修改单排放标准。</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项目设置污水处理站，站房内设一体化污水处理设备，为封闭结构，定期投加除臭剂，污水处理站污水处理能力35m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/d，采用“A/O”污水处理工艺，消毒工艺采用：二氧化氯发生器投加消毒剂，设置事故池11m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，主要污水处理单元有格栅、调节池、A级生化池、O级生化池、沉淀池、消毒排放池。项目运行期间产生的生活污水、医疗废水（混合后统称为医疗机构污水），共计30.4752m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/d、11123.448m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/a，混合排入到污水处理站进行处理，处理后的废水</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满足《医疗机构水污染物排放标准》（GB18466-2005）中的表2预处理标准后</w:t>
            </w:r>
            <w:r>
              <w:rPr>
                <w:rFonts w:hint="eastAsia"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经城市地下排水管网排入鹤岗市西区污水处理厂处理，处理后达到《城镇污水处理厂污染物排放标准》（GB18918-2002）一级A标准排入鹤立河。</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风机、泵等设备采用减振基础、封闭作业等措施。设备安装基础加减振垫，机房和泵房设隔声门窗。院界噪声值满足《工业企业厂界环境噪声排放标准》（GB12348-2008）</w:t>
            </w:r>
            <w:r>
              <w:rPr>
                <w:rFonts w:hint="eastAsia" w:ascii="Times New Roman" w:hAnsi="Times New Roman" w:eastAsia="仿宋_GB2312" w:cs="仿宋_GB2312"/>
                <w:color w:val="auto"/>
                <w:kern w:val="0"/>
                <w:sz w:val="32"/>
                <w:szCs w:val="32"/>
                <w:lang w:val="en-US" w:eastAsia="zh-CN" w:bidi="ar-SA"/>
              </w:rPr>
              <w:t>2</w:t>
            </w:r>
            <w:r>
              <w:rPr>
                <w:rFonts w:hint="default" w:ascii="Times New Roman" w:hAnsi="Times New Roman" w:eastAsia="仿宋_GB2312" w:cs="仿宋_GB2312"/>
                <w:color w:val="auto"/>
                <w:kern w:val="0"/>
                <w:sz w:val="32"/>
                <w:szCs w:val="32"/>
                <w:lang w:val="en-US" w:eastAsia="zh-CN" w:bidi="ar-SA"/>
              </w:rPr>
              <w:t>类标准</w:t>
            </w:r>
            <w:r>
              <w:rPr>
                <w:rFonts w:hint="eastAsia" w:ascii="Times New Roman" w:hAnsi="Times New Roman" w:eastAsia="仿宋_GB2312" w:cs="仿宋_GB2312"/>
                <w:color w:val="auto"/>
                <w:kern w:val="0"/>
                <w:sz w:val="32"/>
                <w:szCs w:val="32"/>
                <w:lang w:val="en-US" w:eastAsia="zh-CN" w:bidi="ar-SA"/>
              </w:rPr>
              <w:t>。</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（四）固体废物治理</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项目生活垃圾集中收集，由市政部门统一清运；未被感染的一次性卫生用品和医疗用品暂存于一般固废暂存间，定期委托有资质公司回收处理。</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医院定期清点药品产生的过期药品暂存在医疗废物暂存间内，委托给有资质的单位定期清运并进行无害化处理。</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医疗废物分类收集，暂存在医疗废物暂存间内，委托给有资质的单位定期清运并进行无害化处理。</w:t>
            </w:r>
          </w:p>
          <w:p>
            <w:pPr>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污水处理站污泥采用二氧化氯发生器投加消毒剂消毒，监测到达《医疗机构水污染物排放标准》（GB18466-2005）表4中“综合医疗机构和其他医疗机构”污泥控制标准后，经叠螺式污泥脱水机脱水处理形成泥饼。污水处理站污泥采用高密度聚乙烯桶包装，暂存于危废贮存库内，交由具有危废处置资质的单位定期清运并进行无害化处理。</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val="zh-CN" w:eastAsia="zh-CN"/>
              </w:rPr>
              <w:t>地下水、土壤环境污染防治措施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污水处理站、危废贮存库</w:t>
            </w:r>
            <w:r>
              <w:rPr>
                <w:rFonts w:hint="default" w:ascii="Times New Roman" w:hAnsi="Times New Roman" w:eastAsia="仿宋_GB2312" w:cs="仿宋_GB2312"/>
                <w:color w:val="auto"/>
                <w:kern w:val="0"/>
                <w:sz w:val="32"/>
                <w:szCs w:val="32"/>
                <w:lang w:val="en-US" w:eastAsia="zh-CN" w:bidi="ar-SA"/>
              </w:rPr>
              <w:t>基础做防渗，采用高密度聚乙烯（HDPE）防渗膜进行防渗。</w:t>
            </w:r>
          </w:p>
          <w:p>
            <w:pPr>
              <w:autoSpaceDN w:val="0"/>
              <w:adjustRightInd w:val="0"/>
              <w:snapToGrid w:val="0"/>
              <w:spacing w:line="360" w:lineRule="auto"/>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三、环境风险防范措施</w:t>
            </w:r>
          </w:p>
          <w:p>
            <w:pPr>
              <w:tabs>
                <w:tab w:val="left" w:pos="6480"/>
              </w:tabs>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事故水储池、污水处理站基础和危废贮存库等涉及区域地面全部硬化处理并做防渗。加强工艺管理，严格控制工艺指标。加强安全生产教育。污水处理站设专人负责，定期对各生产设备、容器等进行检查维修。</w:t>
            </w:r>
          </w:p>
        </w:tc>
      </w:tr>
      <w:tr>
        <w:tblPrEx>
          <w:tblCellMar>
            <w:top w:w="0" w:type="dxa"/>
            <w:left w:w="0" w:type="dxa"/>
            <w:bottom w:w="0" w:type="dxa"/>
            <w:right w:w="0" w:type="dxa"/>
          </w:tblCellMar>
        </w:tblPrEx>
        <w:trPr>
          <w:trHeight w:val="1223"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公众参与情况</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无需开展</w:t>
            </w:r>
          </w:p>
        </w:tc>
      </w:tr>
      <w:tr>
        <w:trPr>
          <w:trHeight w:val="4422"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拟批复</w:t>
            </w:r>
          </w:p>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意见</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同意</w:t>
            </w:r>
          </w:p>
        </w:tc>
      </w:tr>
    </w:tbl>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right="630" w:rightChars="300" w:firstLine="0" w:firstLineChars="0"/>
        <w:jc w:val="both"/>
        <w:textAlignment w:val="auto"/>
        <w:rPr>
          <w:rFonts w:hint="eastAsia" w:ascii="Times New Roman" w:hAnsi="Times New Roman" w:eastAsia="仿宋_GB2312" w:cs="仿宋_GB2312"/>
          <w:color w:val="auto"/>
          <w:kern w:val="0"/>
          <w:sz w:val="32"/>
          <w:szCs w:val="32"/>
          <w:lang w:val="en-US" w:eastAsia="zh-CN" w:bidi="ar-SA"/>
        </w:rPr>
      </w:pPr>
    </w:p>
    <w:p>
      <w:pPr>
        <w:rPr>
          <w:rFonts w:hint="eastAsia" w:ascii="仿宋" w:hAnsi="仿宋" w:eastAsia="仿宋"/>
          <w:color w:val="000000" w:themeColor="text1"/>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tbl>
      <w:tblPr>
        <w:tblStyle w:val="16"/>
        <w:tblW w:w="9553" w:type="dxa"/>
        <w:tblCellSpacing w:w="15" w:type="dxa"/>
        <w:tblInd w:w="-477" w:type="dxa"/>
        <w:tblLayout w:type="fixed"/>
        <w:tblCellMar>
          <w:top w:w="0" w:type="dxa"/>
          <w:left w:w="0" w:type="dxa"/>
          <w:bottom w:w="0" w:type="dxa"/>
          <w:right w:w="0" w:type="dxa"/>
        </w:tblCellMar>
      </w:tblPr>
      <w:tblGrid>
        <w:gridCol w:w="1820"/>
        <w:gridCol w:w="7733"/>
      </w:tblGrid>
      <w:tr>
        <w:tblPrEx>
          <w:tblCellMar>
            <w:top w:w="0" w:type="dxa"/>
            <w:left w:w="0" w:type="dxa"/>
            <w:bottom w:w="0" w:type="dxa"/>
            <w:right w:w="0" w:type="dxa"/>
          </w:tblCellMar>
        </w:tblPrEx>
        <w:trPr>
          <w:trHeight w:val="1157" w:hRule="atLeast"/>
          <w:tblCellSpacing w:w="15" w:type="dxa"/>
        </w:trPr>
        <w:tc>
          <w:tcPr>
            <w:tcW w:w="1775" w:type="dxa"/>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pPr>
              <w:pStyle w:val="13"/>
              <w:widowControl/>
              <w:tabs>
                <w:tab w:val="left" w:pos="105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p>
        </w:tc>
        <w:tc>
          <w:tcPr>
            <w:tcW w:w="7688" w:type="dxa"/>
            <w:tcBorders>
              <w:top w:val="single" w:color="000000" w:sz="4" w:space="0"/>
              <w:left w:val="nil"/>
              <w:bottom w:val="single" w:color="000000" w:sz="4" w:space="0"/>
              <w:right w:val="single" w:color="000000" w:sz="4" w:space="0"/>
            </w:tcBorders>
            <w:tcMar>
              <w:left w:w="70" w:type="dxa"/>
              <w:right w:w="70" w:type="dxa"/>
            </w:tcMar>
            <w:vAlign w:val="center"/>
          </w:tcPr>
          <w:p>
            <w:pPr>
              <w:pStyle w:val="13"/>
              <w:widowControl/>
              <w:tabs>
                <w:tab w:val="left" w:pos="798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鹤岗安亿环保科技有限公司固体危险废物贮存收集项目</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地址</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bidi="ar-SA"/>
              </w:rPr>
              <w:t>黑龙江省鹤岗市南山区5委3组</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鹤岗安亿环保科技有限公司</w:t>
            </w:r>
          </w:p>
        </w:tc>
      </w:tr>
      <w:tr>
        <w:tblPrEx>
          <w:tblCellMar>
            <w:top w:w="0" w:type="dxa"/>
            <w:left w:w="0" w:type="dxa"/>
            <w:bottom w:w="0" w:type="dxa"/>
            <w:right w:w="0" w:type="dxa"/>
          </w:tblCellMar>
        </w:tblPrEx>
        <w:trPr>
          <w:trHeight w:val="138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环境影响评价单位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黑龙江科大欣欣环保科技有限公司</w:t>
            </w:r>
          </w:p>
        </w:tc>
      </w:tr>
      <w:tr>
        <w:tblPrEx>
          <w:tblCellMar>
            <w:top w:w="0" w:type="dxa"/>
            <w:left w:w="0" w:type="dxa"/>
            <w:bottom w:w="0" w:type="dxa"/>
            <w:right w:w="0" w:type="dxa"/>
          </w:tblCellMar>
        </w:tblPrEx>
        <w:trPr>
          <w:trHeight w:val="971"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3"/>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概况</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15" w:lineRule="atLeas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bidi="ar-SA"/>
              </w:rPr>
              <w:t>项目建设性质为新建。项目只进行危险废物的收集、贮存，不进行危险废物处置、利用以及研究，收集的危险废物全部委托具有相应资质的危废处理单位处置。危险废物的运输委托具备危险货物运输资质的单位进行，危险废物的鉴定委托专业鉴定单位进行，确定不涉及爆炸性、剧毒性、反应性后，方可接收储存，储存后不进行处理。危险废物贮存能力为432吨，年中转量为6216吨。项目利用现有独立封闭的厂房，在不改变厂房的现有结构情况下将其隔建为5个贮存区。危险废物贮存库按《危险废物贮存污染控制标准》（GB18597-2023）中的要求进行建设，建设内容包括贮存区的隔间、贮存区地面与裙角的防渗、围堰收集系统、收集池、废气收集处置系统等设施建设。其中各贮存区之间均设置全封闭隔断，每个贮存区内贮存的危险废物均分类、分堆存放，且不相容的危险废物禁止堆放在一起，堆放高度不高于2m。项目总投资3000万，其中环保投资242万。</w:t>
            </w:r>
          </w:p>
        </w:tc>
      </w:tr>
      <w:tr>
        <w:tblPrEx>
          <w:tblCellMar>
            <w:top w:w="0" w:type="dxa"/>
            <w:left w:w="0" w:type="dxa"/>
            <w:bottom w:w="0" w:type="dxa"/>
            <w:right w:w="0" w:type="dxa"/>
          </w:tblCellMar>
        </w:tblPrEx>
        <w:trPr>
          <w:trHeight w:val="311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3"/>
              <w:snapToGrid w:val="0"/>
              <w:spacing w:before="0"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tcMar>
              <w:left w:w="70" w:type="dxa"/>
              <w:right w:w="70" w:type="dxa"/>
            </w:tcMar>
            <w:vAlign w:val="center"/>
          </w:tcPr>
          <w:p>
            <w:pPr>
              <w:autoSpaceDN w:val="0"/>
              <w:adjustRightInd w:val="0"/>
              <w:snapToGrid w:val="0"/>
              <w:spacing w:line="360" w:lineRule="auto"/>
              <w:ind w:firstLine="640" w:firstLineChars="200"/>
              <w:rPr>
                <w:rFonts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一、施工期</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项</w:t>
            </w:r>
            <w:r>
              <w:rPr>
                <w:rFonts w:hint="eastAsia" w:ascii="Times New Roman" w:hAnsi="Times New Roman" w:eastAsia="仿宋_GB2312" w:cs="仿宋_GB2312"/>
                <w:color w:val="auto"/>
                <w:kern w:val="0"/>
                <w:sz w:val="32"/>
                <w:szCs w:val="32"/>
                <w:lang w:val="en-US" w:eastAsia="zh-CN" w:bidi="ar-SA"/>
              </w:rPr>
              <w:t>目施工期仅对危险废物贮存库内部进行装修和防渗工作，无大型土建工程。且施工期较短，施工废气、废水、噪声、固体废物对环境影响较小。</w:t>
            </w:r>
          </w:p>
          <w:p>
            <w:pPr>
              <w:autoSpaceDN w:val="0"/>
              <w:adjustRightInd w:val="0"/>
              <w:snapToGrid w:val="0"/>
              <w:spacing w:line="360" w:lineRule="auto"/>
              <w:ind w:firstLine="64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、运营期</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项目对各个贮存区废气产生点上方均设置集气罩，废气经集气罩收集后经过酸雾净化塔+过滤棉+二级高效活性炭吸附装置处理后，通过1根15m排气筒排放。废气排放浓度</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满足《大气污染物综合排放标准》（GB16297-1996）表2二级标准及无组织排放监控浓度限值</w:t>
            </w:r>
            <w:r>
              <w:rPr>
                <w:rFonts w:hint="eastAsia"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《恶臭污染物排放标准》（GB 14554-93）表1新扩改建二级标准及表2标准要求。车间外非甲烷总烃</w:t>
            </w:r>
            <w:r>
              <w:rPr>
                <w:rFonts w:hint="eastAsia" w:eastAsia="仿宋_GB2312" w:cs="仿宋_GB2312"/>
                <w:color w:val="auto"/>
                <w:kern w:val="0"/>
                <w:sz w:val="32"/>
                <w:szCs w:val="32"/>
                <w:lang w:val="en-US" w:eastAsia="zh-CN" w:bidi="ar-SA"/>
              </w:rPr>
              <w:t>应</w:t>
            </w:r>
            <w:r>
              <w:rPr>
                <w:rFonts w:hint="eastAsia" w:ascii="Times New Roman" w:hAnsi="Times New Roman" w:eastAsia="仿宋_GB2312" w:cs="仿宋_GB2312"/>
                <w:color w:val="auto"/>
                <w:kern w:val="0"/>
                <w:sz w:val="32"/>
                <w:szCs w:val="32"/>
                <w:lang w:val="en-US" w:eastAsia="zh-CN" w:bidi="ar-SA"/>
              </w:rPr>
              <w:t>满足《挥发性有机物无组织排放控制标准》（GB37822-2019）附录A表A.1排放限值。</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项目运营期废水主要为生活污水。生活污水排入防渗旱厕，定期清掏，外运堆肥，不外排。</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项目建设有16m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事故池及36m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消防水池，一旦发生事故时，可接纳事故废水。事故废水委托有资质单位拉运处理，严禁事故废水排出厂外。</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项目营运期噪声源主要为风机、打包机等设备，为减轻对周围声环境的影响，项目从隔声降噪等方面考虑噪声的防治措施。具体采取的治理措施如下：</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1、</w:t>
            </w:r>
            <w:r>
              <w:rPr>
                <w:rFonts w:hint="eastAsia" w:ascii="Times New Roman" w:hAnsi="Times New Roman" w:eastAsia="仿宋_GB2312" w:cs="仿宋_GB2312"/>
                <w:color w:val="auto"/>
                <w:kern w:val="0"/>
                <w:sz w:val="32"/>
                <w:szCs w:val="32"/>
                <w:lang w:val="en-US" w:eastAsia="zh-CN" w:bidi="ar-SA"/>
              </w:rPr>
              <w:t>合理布局：主要产噪设备均布置在危险废物贮存库内，利用库房构筑物进行隔声；并尽量布置在库房平面的中央，利用距离进行噪声衰减；</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2、</w:t>
            </w:r>
            <w:r>
              <w:rPr>
                <w:rFonts w:hint="eastAsia" w:ascii="Times New Roman" w:hAnsi="Times New Roman" w:eastAsia="仿宋_GB2312" w:cs="仿宋_GB2312"/>
                <w:color w:val="auto"/>
                <w:kern w:val="0"/>
                <w:sz w:val="32"/>
                <w:szCs w:val="32"/>
                <w:lang w:val="en-US" w:eastAsia="zh-CN" w:bidi="ar-SA"/>
              </w:rPr>
              <w:t>选用低噪声设备：优先选用先进的低噪设备，如选用低噪的风机等，在风机进、出口加装消声器，从声源上降低设备噪声；</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3、</w:t>
            </w:r>
            <w:r>
              <w:rPr>
                <w:rFonts w:hint="eastAsia" w:ascii="Times New Roman" w:hAnsi="Times New Roman" w:eastAsia="仿宋_GB2312" w:cs="仿宋_GB2312"/>
                <w:color w:val="auto"/>
                <w:kern w:val="0"/>
                <w:sz w:val="32"/>
                <w:szCs w:val="32"/>
                <w:lang w:val="en-US" w:eastAsia="zh-CN" w:bidi="ar-SA"/>
              </w:rPr>
              <w:t>对高噪声设备进行基础减振；</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4、</w:t>
            </w:r>
            <w:r>
              <w:rPr>
                <w:rFonts w:hint="eastAsia" w:ascii="Times New Roman" w:hAnsi="Times New Roman" w:eastAsia="仿宋_GB2312" w:cs="仿宋_GB2312"/>
                <w:color w:val="auto"/>
                <w:kern w:val="0"/>
                <w:sz w:val="32"/>
                <w:szCs w:val="32"/>
                <w:lang w:val="en-US" w:eastAsia="zh-CN" w:bidi="ar-SA"/>
              </w:rPr>
              <w:t>应做好对设备的维修和保养工作，确保其处于良好的工作状态，从而降低噪声的产生；杜绝因设备不正常运转时产生的高噪声排放现象；</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5、</w:t>
            </w:r>
            <w:r>
              <w:rPr>
                <w:rFonts w:hint="eastAsia" w:ascii="Times New Roman" w:hAnsi="Times New Roman" w:eastAsia="仿宋_GB2312" w:cs="仿宋_GB2312"/>
                <w:color w:val="auto"/>
                <w:kern w:val="0"/>
                <w:sz w:val="32"/>
                <w:szCs w:val="32"/>
                <w:lang w:val="en-US" w:eastAsia="zh-CN" w:bidi="ar-SA"/>
              </w:rPr>
              <w:t>通过加强管理、教育，使人工文明操作，装卸物品时轻拿轻放，避免因野蛮操作产生的突发性噪声。</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（四）固体废物治理</w:t>
            </w:r>
          </w:p>
          <w:p>
            <w:pPr>
              <w:adjustRightInd w:val="0"/>
              <w:snapToGrid w:val="0"/>
              <w:spacing w:line="360" w:lineRule="auto"/>
              <w:ind w:firstLine="560" w:firstLineChars="200"/>
              <w:rPr>
                <w:rFonts w:hint="eastAsia" w:ascii="Times New Roman" w:hAnsi="Times New Roman" w:eastAsia="仿宋_GB2312" w:cs="仿宋_GB2312"/>
                <w:color w:val="auto"/>
                <w:kern w:val="0"/>
                <w:sz w:val="32"/>
                <w:szCs w:val="32"/>
                <w:lang w:val="en-US" w:eastAsia="zh-CN" w:bidi="ar-SA"/>
              </w:rPr>
            </w:pPr>
            <w:r>
              <w:rPr>
                <w:rFonts w:hint="eastAsia" w:eastAsia="仿宋"/>
                <w:color w:val="000000" w:themeColor="text1"/>
                <w:sz w:val="28"/>
                <w:szCs w:val="28"/>
                <w14:textFill>
                  <w14:solidFill>
                    <w14:schemeClr w14:val="tx1"/>
                  </w14:solidFill>
                </w14:textFill>
              </w:rPr>
              <w:t>生</w:t>
            </w:r>
            <w:r>
              <w:rPr>
                <w:rFonts w:hint="eastAsia" w:ascii="Times New Roman" w:hAnsi="Times New Roman" w:eastAsia="仿宋_GB2312" w:cs="仿宋_GB2312"/>
                <w:color w:val="auto"/>
                <w:kern w:val="0"/>
                <w:sz w:val="32"/>
                <w:szCs w:val="32"/>
                <w:lang w:val="en-US" w:eastAsia="zh-CN" w:bidi="ar-SA"/>
              </w:rPr>
              <w:t>活垃圾：由市政环卫部门统一收集处理。</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危险废物：酸雾净化塔废液、废活性炭、废弃吸油棉、含油锯末、废含油抹布、拖布、手套、罐底油污泥、废过滤棉收集后分区贮存于项目危险废物贮存库内，定期委托有资质单位处置。</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val="zh-CN" w:eastAsia="zh-CN"/>
              </w:rPr>
              <w:t>地下水、土壤环境污染防治措施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项目进行了分区防渗，划分为重点防渗区、一般防渗区。</w:t>
            </w:r>
          </w:p>
          <w:p>
            <w:pPr>
              <w:autoSpaceDN w:val="0"/>
              <w:adjustRightInd w:val="0"/>
              <w:snapToGrid w:val="0"/>
              <w:spacing w:line="360" w:lineRule="auto"/>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三、环境风险防范措施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项目针对各贮存分区设置渗漏液收集沟，渗漏收集沟沿贮存分区外侧四周设置。各个贮存区均设置围堰，设置容积16m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事故池1座，与环形渗漏收集管网连接。</w:t>
            </w:r>
          </w:p>
          <w:p>
            <w:pPr>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项目贮存区地面、装卸区、废液收集桶、收集沟、事故池等均采取坚固的防渗防腐材料修建，确保其防渗性能满足渗透系数</w:t>
            </w:r>
            <w:r>
              <w:rPr>
                <w:rFonts w:hint="default" w:ascii="Times New Roman" w:hAnsi="Times New Roman"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10</w:t>
            </w:r>
            <w:r>
              <w:rPr>
                <w:rFonts w:hint="eastAsia" w:ascii="Times New Roman" w:hAnsi="Times New Roman" w:eastAsia="仿宋_GB2312" w:cs="仿宋_GB2312"/>
                <w:color w:val="auto"/>
                <w:kern w:val="0"/>
                <w:sz w:val="32"/>
                <w:szCs w:val="32"/>
                <w:vertAlign w:val="superscript"/>
                <w:lang w:val="en-US" w:eastAsia="zh-CN" w:bidi="ar-SA"/>
              </w:rPr>
              <w:t>-10</w:t>
            </w:r>
            <w:r>
              <w:rPr>
                <w:rFonts w:hint="eastAsia" w:ascii="Times New Roman" w:hAnsi="Times New Roman" w:eastAsia="仿宋_GB2312" w:cs="仿宋_GB2312"/>
                <w:color w:val="auto"/>
                <w:kern w:val="0"/>
                <w:sz w:val="32"/>
                <w:szCs w:val="32"/>
                <w:lang w:val="en-US" w:eastAsia="zh-CN" w:bidi="ar-SA"/>
              </w:rPr>
              <w:t>cm/s的要求。危险废物暂存、运输过程建立安全生产岗位责任制，制定安全生产规章制度、安全操作规程、安全管理规定等；员工均实行持证上岗；定期检查和维修；各危险废物暂存区设置通讯设备、安全照明设施、安全防护服装及工具和应急防护设施，同时应设置明显的危险废物的标识；编制突发事件应急预案；设置火灾报警装置、消火栓、灭火器、消防沙池等。</w:t>
            </w:r>
          </w:p>
        </w:tc>
      </w:tr>
      <w:tr>
        <w:tblPrEx>
          <w:tblCellMar>
            <w:top w:w="0" w:type="dxa"/>
            <w:left w:w="0" w:type="dxa"/>
            <w:bottom w:w="0" w:type="dxa"/>
            <w:right w:w="0" w:type="dxa"/>
          </w:tblCellMar>
        </w:tblPrEx>
        <w:trPr>
          <w:trHeight w:val="1223"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公众参与情况</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无需开展</w:t>
            </w:r>
          </w:p>
        </w:tc>
      </w:tr>
      <w:tr>
        <w:tblPrEx>
          <w:tblCellMar>
            <w:top w:w="0" w:type="dxa"/>
            <w:left w:w="0" w:type="dxa"/>
            <w:bottom w:w="0" w:type="dxa"/>
            <w:right w:w="0" w:type="dxa"/>
          </w:tblCellMar>
        </w:tblPrEx>
        <w:trPr>
          <w:trHeight w:val="4422"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p>
        </w:tc>
      </w:tr>
      <w:tr>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拟批复</w:t>
            </w:r>
          </w:p>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意见</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同意</w:t>
            </w:r>
          </w:p>
        </w:tc>
      </w:tr>
    </w:tbl>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仿宋_GB2312"/>
          <w:color w:val="auto"/>
          <w:kern w:val="0"/>
          <w:sz w:val="32"/>
          <w:szCs w:val="32"/>
          <w:lang w:val="en-US" w:eastAsia="zh-CN" w:bidi="ar-SA"/>
        </w:rPr>
      </w:pPr>
      <w:bookmarkStart w:id="28" w:name="_GoBack"/>
      <w:bookmarkEnd w:id="2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zdhNDY4ZTA4YTIxNDg5ZTY4ZTZkZGYxMGE5MmIifQ=="/>
  </w:docVars>
  <w:rsids>
    <w:rsidRoot w:val="37171A61"/>
    <w:rsid w:val="000275A3"/>
    <w:rsid w:val="00042EBB"/>
    <w:rsid w:val="001310FA"/>
    <w:rsid w:val="00174636"/>
    <w:rsid w:val="001C5F11"/>
    <w:rsid w:val="003520E2"/>
    <w:rsid w:val="00382580"/>
    <w:rsid w:val="004B271E"/>
    <w:rsid w:val="004D02E4"/>
    <w:rsid w:val="004E370E"/>
    <w:rsid w:val="00571BDE"/>
    <w:rsid w:val="00664654"/>
    <w:rsid w:val="00797EA6"/>
    <w:rsid w:val="00804923"/>
    <w:rsid w:val="00841278"/>
    <w:rsid w:val="00843266"/>
    <w:rsid w:val="009A1668"/>
    <w:rsid w:val="00AD183B"/>
    <w:rsid w:val="00B06034"/>
    <w:rsid w:val="00BA629C"/>
    <w:rsid w:val="00D743AD"/>
    <w:rsid w:val="00D82108"/>
    <w:rsid w:val="030A0A72"/>
    <w:rsid w:val="041C5514"/>
    <w:rsid w:val="049C7DEF"/>
    <w:rsid w:val="06DB3CE0"/>
    <w:rsid w:val="0B58189F"/>
    <w:rsid w:val="0FD318D6"/>
    <w:rsid w:val="149017BE"/>
    <w:rsid w:val="15AA1C40"/>
    <w:rsid w:val="16810AFC"/>
    <w:rsid w:val="17AC6144"/>
    <w:rsid w:val="193006AE"/>
    <w:rsid w:val="1A2E4822"/>
    <w:rsid w:val="1A6A36E7"/>
    <w:rsid w:val="1CB9558B"/>
    <w:rsid w:val="20F61668"/>
    <w:rsid w:val="21C961A7"/>
    <w:rsid w:val="21EA3B0F"/>
    <w:rsid w:val="23C40371"/>
    <w:rsid w:val="24D34D10"/>
    <w:rsid w:val="26926505"/>
    <w:rsid w:val="28F31BA1"/>
    <w:rsid w:val="2B4F6B69"/>
    <w:rsid w:val="2B8B12B1"/>
    <w:rsid w:val="2EED5A1B"/>
    <w:rsid w:val="2EF75A9F"/>
    <w:rsid w:val="30930421"/>
    <w:rsid w:val="362E76CC"/>
    <w:rsid w:val="37171A61"/>
    <w:rsid w:val="372E4027"/>
    <w:rsid w:val="381274A5"/>
    <w:rsid w:val="38A21F1B"/>
    <w:rsid w:val="3C5630A1"/>
    <w:rsid w:val="3E5B01E6"/>
    <w:rsid w:val="40E63C12"/>
    <w:rsid w:val="40F215D8"/>
    <w:rsid w:val="412B2BA1"/>
    <w:rsid w:val="415428DD"/>
    <w:rsid w:val="41782A6F"/>
    <w:rsid w:val="47743CD8"/>
    <w:rsid w:val="491570B1"/>
    <w:rsid w:val="4EEF44CD"/>
    <w:rsid w:val="543F1973"/>
    <w:rsid w:val="55BB38E7"/>
    <w:rsid w:val="57345FA6"/>
    <w:rsid w:val="57C24474"/>
    <w:rsid w:val="58B7229A"/>
    <w:rsid w:val="58DD4C54"/>
    <w:rsid w:val="594976BD"/>
    <w:rsid w:val="5D091080"/>
    <w:rsid w:val="5F096A11"/>
    <w:rsid w:val="5FEA4540"/>
    <w:rsid w:val="636B3624"/>
    <w:rsid w:val="664B39FF"/>
    <w:rsid w:val="67B13D35"/>
    <w:rsid w:val="6B4948EF"/>
    <w:rsid w:val="6C1F27DA"/>
    <w:rsid w:val="6DD8026E"/>
    <w:rsid w:val="6E6733A0"/>
    <w:rsid w:val="71A32824"/>
    <w:rsid w:val="71FB452B"/>
    <w:rsid w:val="790F182A"/>
    <w:rsid w:val="7C691B8C"/>
    <w:rsid w:val="7FE7E0E3"/>
    <w:rsid w:val="FDBFB3F4"/>
    <w:rsid w:val="FFDF720B"/>
    <w:rsid w:val="FFFD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autoRedefine/>
    <w:qFormat/>
    <w:uiPriority w:val="0"/>
    <w:pPr>
      <w:keepNext/>
      <w:keepLines/>
      <w:snapToGrid w:val="0"/>
      <w:spacing w:line="360" w:lineRule="auto"/>
      <w:jc w:val="left"/>
      <w:outlineLvl w:val="3"/>
    </w:pPr>
    <w:rPr>
      <w:rFonts w:ascii="Arial" w:hAnsi="Arial"/>
      <w:bCs/>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line="360" w:lineRule="auto"/>
      <w:ind w:left="420" w:leftChars="200" w:firstLine="640" w:firstLineChars="200"/>
    </w:pPr>
    <w:rPr>
      <w:sz w:val="24"/>
      <w:szCs w:val="24"/>
    </w:rPr>
  </w:style>
  <w:style w:type="paragraph" w:styleId="4">
    <w:name w:val="Body Text"/>
    <w:basedOn w:val="1"/>
    <w:next w:val="5"/>
    <w:autoRedefine/>
    <w:qFormat/>
    <w:uiPriority w:val="0"/>
    <w:pPr>
      <w:widowControl/>
      <w:snapToGrid w:val="0"/>
      <w:spacing w:before="60" w:after="160" w:line="259" w:lineRule="auto"/>
      <w:ind w:right="113"/>
    </w:pPr>
    <w:rPr>
      <w:kern w:val="0"/>
      <w:sz w:val="18"/>
      <w:szCs w:val="20"/>
    </w:rPr>
  </w:style>
  <w:style w:type="paragraph" w:customStyle="1" w:styleId="5">
    <w:name w:val="Normal (Web)1"/>
    <w:basedOn w:val="1"/>
    <w:next w:val="6"/>
    <w:autoRedefine/>
    <w:qFormat/>
    <w:uiPriority w:val="0"/>
    <w:pPr>
      <w:widowControl/>
      <w:jc w:val="left"/>
    </w:pPr>
    <w:rPr>
      <w:rFonts w:ascii="宋体"/>
      <w:kern w:val="0"/>
      <w:sz w:val="24"/>
      <w:szCs w:val="21"/>
    </w:rPr>
  </w:style>
  <w:style w:type="paragraph" w:customStyle="1" w:styleId="6">
    <w:name w:val="Date1"/>
    <w:basedOn w:val="1"/>
    <w:next w:val="1"/>
    <w:qFormat/>
    <w:uiPriority w:val="0"/>
    <w:pPr>
      <w:ind w:left="2500" w:leftChars="2500"/>
    </w:pPr>
  </w:style>
  <w:style w:type="paragraph" w:styleId="7">
    <w:name w:val="Body Text Indent 2"/>
    <w:basedOn w:val="1"/>
    <w:next w:val="1"/>
    <w:qFormat/>
    <w:uiPriority w:val="0"/>
    <w:pPr>
      <w:spacing w:after="120" w:line="480" w:lineRule="auto"/>
      <w:ind w:left="420" w:leftChars="200"/>
    </w:pPr>
  </w:style>
  <w:style w:type="paragraph" w:styleId="8">
    <w:name w:val="Balloon Text"/>
    <w:basedOn w:val="1"/>
    <w:autoRedefine/>
    <w:qFormat/>
    <w:uiPriority w:val="99"/>
    <w:rPr>
      <w:rFonts w:ascii="Calibri" w:hAnsi="Calibri"/>
      <w:color w:val="000000"/>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Cs w:val="24"/>
    </w:rPr>
  </w:style>
  <w:style w:type="paragraph" w:styleId="12">
    <w:name w:val="toc 2"/>
    <w:basedOn w:val="1"/>
    <w:next w:val="1"/>
    <w:autoRedefine/>
    <w:unhideWhenUsed/>
    <w:qFormat/>
    <w:uiPriority w:val="39"/>
    <w:pPr>
      <w:widowControl/>
      <w:spacing w:after="100" w:line="276" w:lineRule="auto"/>
      <w:ind w:left="220"/>
      <w:jc w:val="left"/>
    </w:pPr>
    <w:rPr>
      <w:rFonts w:ascii="Calibri" w:hAnsi="Calibri"/>
      <w:kern w:val="0"/>
      <w:sz w:val="22"/>
    </w:rPr>
  </w:style>
  <w:style w:type="paragraph" w:styleId="13">
    <w:name w:val="Normal (Web)"/>
    <w:basedOn w:val="1"/>
    <w:autoRedefine/>
    <w:qFormat/>
    <w:uiPriority w:val="0"/>
    <w:pPr>
      <w:widowControl/>
      <w:spacing w:before="100" w:after="100" w:line="15" w:lineRule="atLeast"/>
      <w:jc w:val="center"/>
    </w:pPr>
    <w:rPr>
      <w:rFonts w:ascii="仿宋" w:hAnsi="仿宋" w:eastAsia="仿宋" w:cs="仿宋"/>
      <w:sz w:val="32"/>
      <w:szCs w:val="32"/>
    </w:rPr>
  </w:style>
  <w:style w:type="paragraph" w:styleId="14">
    <w:name w:val="Title"/>
    <w:basedOn w:val="1"/>
    <w:next w:val="1"/>
    <w:autoRedefine/>
    <w:qFormat/>
    <w:uiPriority w:val="10"/>
    <w:pPr>
      <w:spacing w:before="120" w:after="120"/>
      <w:outlineLvl w:val="0"/>
    </w:pPr>
    <w:rPr>
      <w:rFonts w:ascii="Cambria" w:hAnsi="Cambria"/>
      <w:b/>
      <w:bCs/>
      <w:sz w:val="32"/>
      <w:szCs w:val="32"/>
    </w:rPr>
  </w:style>
  <w:style w:type="paragraph" w:styleId="15">
    <w:name w:val="Body Text First Indent"/>
    <w:basedOn w:val="4"/>
    <w:next w:val="1"/>
    <w:autoRedefine/>
    <w:qFormat/>
    <w:uiPriority w:val="0"/>
    <w:pPr>
      <w:spacing w:after="120"/>
      <w:ind w:firstLine="420" w:firstLineChars="100"/>
    </w:pPr>
  </w:style>
  <w:style w:type="paragraph" w:customStyle="1" w:styleId="18">
    <w:name w:val="Default"/>
    <w:basedOn w:val="19"/>
    <w:next w:val="1"/>
    <w:autoRedefine/>
    <w:qFormat/>
    <w:uiPriority w:val="0"/>
    <w:pPr>
      <w:autoSpaceDE w:val="0"/>
      <w:autoSpaceDN w:val="0"/>
      <w:adjustRightInd w:val="0"/>
    </w:pPr>
    <w:rPr>
      <w:rFonts w:hAnsi="Times New Roman" w:cs="宋体"/>
      <w:color w:val="000000"/>
      <w:sz w:val="24"/>
      <w:szCs w:val="24"/>
    </w:rPr>
  </w:style>
  <w:style w:type="paragraph" w:customStyle="1" w:styleId="19">
    <w:name w:val="纯文本1"/>
    <w:basedOn w:val="1"/>
    <w:autoRedefine/>
    <w:qFormat/>
    <w:uiPriority w:val="0"/>
    <w:rPr>
      <w:rFonts w:hint="eastAsia" w:ascii="宋体" w:hAnsi="Courier New"/>
    </w:rPr>
  </w:style>
  <w:style w:type="paragraph" w:customStyle="1" w:styleId="20">
    <w:name w:val="baby-正文"/>
    <w:basedOn w:val="4"/>
    <w:next w:val="8"/>
    <w:autoRedefine/>
    <w:qFormat/>
    <w:uiPriority w:val="0"/>
    <w:pPr>
      <w:spacing w:line="240" w:lineRule="auto"/>
    </w:pPr>
    <w:rPr>
      <w:rFonts w:ascii="仿宋_GB2312" w:hAnsi="宋体"/>
      <w:bCs/>
      <w:kern w:val="2"/>
      <w:sz w:val="30"/>
      <w:szCs w:val="24"/>
    </w:rPr>
  </w:style>
  <w:style w:type="paragraph" w:customStyle="1" w:styleId="21">
    <w:name w:val="【正文】"/>
    <w:autoRedefine/>
    <w:qFormat/>
    <w:uiPriority w:val="0"/>
    <w:pPr>
      <w:spacing w:line="500" w:lineRule="exact"/>
    </w:pPr>
    <w:rPr>
      <w:rFonts w:ascii="宋体" w:hAnsi="Calibri" w:eastAsia="Calibri" w:cs="Times New Roman"/>
      <w:lang w:val="en-US" w:eastAsia="zh-CN" w:bidi="ar-SA"/>
    </w:rPr>
  </w:style>
  <w:style w:type="paragraph" w:customStyle="1" w:styleId="22">
    <w:name w:val="正文（首行缩进两字） Char"/>
    <w:basedOn w:val="1"/>
    <w:autoRedefine/>
    <w:qFormat/>
    <w:uiPriority w:val="0"/>
    <w:pPr>
      <w:widowControl/>
      <w:spacing w:line="360" w:lineRule="auto"/>
      <w:ind w:firstLine="480" w:firstLineChars="150"/>
    </w:pPr>
    <w:rPr>
      <w:rFonts w:eastAsia="仿宋"/>
      <w:color w:val="000000" w:themeColor="text1"/>
      <w:sz w:val="32"/>
      <w:szCs w:val="32"/>
      <w14:textFill>
        <w14:solidFill>
          <w14:schemeClr w14:val="tx1"/>
        </w14:solidFill>
      </w14:textFill>
    </w:rPr>
  </w:style>
  <w:style w:type="paragraph" w:customStyle="1" w:styleId="23">
    <w:name w:val="正文文字缩进1"/>
    <w:basedOn w:val="7"/>
    <w:qFormat/>
    <w:uiPriority w:val="0"/>
    <w:pPr>
      <w:spacing w:after="0" w:line="360" w:lineRule="auto"/>
      <w:ind w:left="0" w:leftChars="0" w:firstLine="560"/>
    </w:pPr>
    <w:rPr>
      <w:rFonts w:ascii="黑体" w:hAnsi="Arial Black" w:eastAsia="黑体"/>
      <w:b/>
      <w:bCs/>
      <w:sz w:val="28"/>
      <w:szCs w:val="20"/>
    </w:rPr>
  </w:style>
  <w:style w:type="paragraph" w:customStyle="1" w:styleId="24">
    <w:name w:val="C首行缩进正文"/>
    <w:basedOn w:val="21"/>
    <w:qFormat/>
    <w:uiPriority w:val="0"/>
    <w:rPr>
      <w:sz w:val="21"/>
    </w:rPr>
  </w:style>
  <w:style w:type="paragraph" w:customStyle="1" w:styleId="25">
    <w:name w:val="正文 + 首行缩进:  2 字符"/>
    <w:basedOn w:val="1"/>
    <w:qFormat/>
    <w:uiPriority w:val="0"/>
    <w:pPr>
      <w:spacing w:line="460" w:lineRule="atLeast"/>
      <w:ind w:firstLine="528"/>
    </w:pPr>
    <w:rPr>
      <w:spacing w:val="12"/>
      <w:szCs w:val="20"/>
    </w:rPr>
  </w:style>
  <w:style w:type="paragraph" w:customStyle="1" w:styleId="26">
    <w:name w:val="11111"/>
    <w:basedOn w:val="1"/>
    <w:next w:val="1"/>
    <w:qFormat/>
    <w:uiPriority w:val="0"/>
    <w:pPr>
      <w:spacing w:line="360" w:lineRule="auto"/>
      <w:ind w:firstLine="200" w:firstLineChars="200"/>
    </w:pPr>
    <w:rPr>
      <w:rFonts w:hAnsi="宋体" w:cs="宋体"/>
      <w:sz w:val="24"/>
    </w:rPr>
  </w:style>
  <w:style w:type="character" w:customStyle="1" w:styleId="27">
    <w:name w:val="页眉 Char"/>
    <w:basedOn w:val="17"/>
    <w:link w:val="10"/>
    <w:qFormat/>
    <w:uiPriority w:val="0"/>
    <w:rPr>
      <w:rFonts w:ascii="Times New Roman" w:hAnsi="Times New Roman" w:eastAsia="宋体" w:cs="Times New Roman"/>
      <w:kern w:val="2"/>
      <w:sz w:val="18"/>
      <w:szCs w:val="18"/>
    </w:rPr>
  </w:style>
  <w:style w:type="character" w:customStyle="1" w:styleId="28">
    <w:name w:val="页脚 Char"/>
    <w:basedOn w:val="17"/>
    <w:link w:val="9"/>
    <w:qFormat/>
    <w:uiPriority w:val="0"/>
    <w:rPr>
      <w:rFonts w:ascii="Times New Roman" w:hAnsi="Times New Roman" w:eastAsia="宋体" w:cs="Times New Roman"/>
      <w:kern w:val="2"/>
      <w:sz w:val="18"/>
      <w:szCs w:val="18"/>
    </w:rPr>
  </w:style>
  <w:style w:type="character" w:customStyle="1" w:styleId="29">
    <w:name w:val="[1]正文 Char Char"/>
    <w:basedOn w:val="17"/>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2554</Words>
  <Characters>2810</Characters>
  <Lines>22</Lines>
  <Paragraphs>6</Paragraphs>
  <TotalTime>16</TotalTime>
  <ScaleCrop>false</ScaleCrop>
  <LinksUpToDate>false</LinksUpToDate>
  <CharactersWithSpaces>2810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2025-08-08T05:52:00Z</dcterms:created>
  <dc:creator>Dawn</dc:creator>
  <cp:lastModifiedBy>殊途同归</cp:lastModifiedBy>
  <cp:lastPrinted>2025-09-06T01:56:00Z</cp:lastPrinted>
  <dcterms:modified xsi:type="dcterms:W3CDTF">2025-11-14T14:23:59Z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BC93FE173D65B250FFCA1669164CE4C7_43</vt:lpwstr>
  </property>
  <property fmtid="{D5CDD505-2E9C-101B-9397-08002B2CF9AE}" pid="4" name="KSOTemplateDocerSaveRecord">
    <vt:lpwstr>eyJoZGlkIjoiZmQ0M2ZmZTNmMjRmMTcwNzgzNzFjMTE0ZTk0YTgzOGEiLCJ1c2VySWQiOiI0OTcxNzU2MTIifQ==</vt:lpwstr>
  </property>
</Properties>
</file>